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Đặc tả Use-Case — Nhóm THU NGÂN (CASHIER)</w:t>
      </w:r>
    </w:p>
    <w:p>
      <w:pPr>
        <w:pStyle w:val="Quote"/>
      </w:pPr>
      <w:r>
        <w:t>Group: THU NGÂN (CASHIER)</w:t>
        <w:br/>
        <w:t>Nguồn: Bổ sung từ hệ thống đã triển khai (không có trong danh sách UC-01…31 gốc).</w:t>
        <w:br/>
        <w:t>Route: POST /api/v1/restaurant/invoices/:id/void (quyền billing:process).</w:t>
      </w:r>
    </w:p>
    <w:p>
      <w:r>
        <w:t>──────────────────────────────────────────────────</w:t>
      </w:r>
    </w:p>
    <w:p>
      <w:pPr>
        <w:pStyle w:val="Heading1"/>
      </w:pPr>
      <w:r>
        <w:t>UC-C36 — Hủy hóa đơn (void)</w:t>
      </w:r>
    </w:p>
    <w:p>
      <w:pPr>
        <w:pStyle w:val="Heading2"/>
      </w:pPr>
      <w:r>
        <w:t>1) Use-case đặc tả tổng quan</w:t>
      </w:r>
    </w:p>
    <w:p>
      <w:r>
        <w:rPr>
          <w:i/>
        </w:rPr>
        <w:t>Hình: ĐẶC TẢ USE-CASE THU NGÂN — HỦY HÓA ĐƠN</w:t>
      </w:r>
      <w:r>
        <w:br/>
        <w:t xml:space="preserve">Tác nhân </w:t>
      </w:r>
      <w:r>
        <w:rPr>
          <w:b/>
        </w:rPr>
        <w:t>Thu ngân</w:t>
      </w:r>
      <w:r>
        <w:t xml:space="preserve"> giao tiếp với use-case «Hủy hóa đơn»; use-case «include» «Ghi lý do hủy» (audit). Dùng khi hóa đơn lập sai và cần bỏ để lập lại. Hóa đơn </w:t>
      </w:r>
      <w:r>
        <w:rPr>
          <w:rFonts w:ascii="Consolas" w:hAnsi="Consolas"/>
          <w:sz w:val="20"/>
        </w:rPr>
        <w:t>VOID</w:t>
      </w:r>
      <w:r>
        <w:t xml:space="preserve"> không còn chặn đóng phiên (UC-C25 chỉ chặn hóa đơn khác </w:t>
      </w:r>
      <w:r>
        <w:rPr>
          <w:rFonts w:ascii="Consolas" w:hAnsi="Consolas"/>
          <w:sz w:val="20"/>
        </w:rPr>
        <w:t>VOID</w:t>
      </w:r>
      <w:r>
        <w:t>/</w:t>
      </w:r>
      <w:r>
        <w:rPr>
          <w:rFonts w:ascii="Consolas" w:hAnsi="Consolas"/>
          <w:sz w:val="20"/>
        </w:rPr>
        <w:t>PAID</w:t>
      </w:r>
      <w:r>
        <w:t>).</w:t>
      </w:r>
    </w:p>
    <w:p>
      <w:pPr>
        <w:pStyle w:val="Heading2"/>
      </w:pPr>
      <w:r>
        <w:t>2) Bảng use-case chi tiết</w:t>
      </w:r>
    </w:p>
    <w:tbl>
      <w:tblPr>
        <w:tblStyle w:val="TableGrid"/>
        <w:tblW w:type="auto" w:w="0"/>
        <w:tblLook w:firstColumn="1" w:firstRow="1" w:lastColumn="0" w:lastRow="0" w:noHBand="0" w:noVBand="1" w:val="04A0"/>
      </w:tblPr>
      <w:tblGrid>
        <w:gridCol w:w="4320"/>
        <w:gridCol w:w="4320"/>
      </w:tblGrid>
      <w:tr>
        <w:tc>
          <w:tcPr>
            <w:tcW w:type="dxa" w:w="4320"/>
          </w:tcPr>
          <w:p>
            <w:r>
              <w:rPr>
                <w:b/>
              </w:rPr>
              <w:t>Mục</w:t>
            </w:r>
          </w:p>
        </w:tc>
        <w:tc>
          <w:tcPr>
            <w:tcW w:type="dxa" w:w="4320"/>
          </w:tcPr>
          <w:p>
            <w:r>
              <w:rPr>
                <w:b/>
              </w:rPr>
              <w:t>Nội dung</w:t>
            </w:r>
          </w:p>
        </w:tc>
      </w:tr>
      <w:tr>
        <w:tc>
          <w:tcPr>
            <w:tcW w:type="dxa" w:w="4320"/>
          </w:tcPr>
          <w:p>
            <w:r>
              <w:t>Tên Use-Case</w:t>
            </w:r>
          </w:p>
        </w:tc>
        <w:tc>
          <w:tcPr>
            <w:tcW w:type="dxa" w:w="4320"/>
          </w:tcPr>
          <w:p>
            <w:r>
              <w:t>Hủy hóa đơn (void)</w:t>
            </w:r>
          </w:p>
        </w:tc>
      </w:tr>
      <w:tr>
        <w:tc>
          <w:tcPr>
            <w:tcW w:type="dxa" w:w="4320"/>
          </w:tcPr>
          <w:p>
            <w:r>
              <w:t>Tác nhân</w:t>
            </w:r>
          </w:p>
        </w:tc>
        <w:tc>
          <w:tcPr>
            <w:tcW w:type="dxa" w:w="4320"/>
          </w:tcPr>
          <w:p>
            <w:r>
              <w:t>Thu ngân (Cashier) — phụ: Hệ thống</w:t>
            </w:r>
          </w:p>
        </w:tc>
      </w:tr>
      <w:tr>
        <w:tc>
          <w:tcPr>
            <w:tcW w:type="dxa" w:w="4320"/>
          </w:tcPr>
          <w:p>
            <w:r>
              <w:t>Mô tả</w:t>
            </w:r>
          </w:p>
        </w:tc>
        <w:tc>
          <w:tcPr>
            <w:tcW w:type="dxa" w:w="4320"/>
          </w:tcPr>
          <w:p>
            <w:r>
              <w:t>Thu ngân hủy một hóa đơn kèm lý do. Hệ thống đánh dấu hóa đơn VOID, ghi lý do (audit) và phát realtime. Sau đó có thể lập lại hóa đơn cho phiên (UC-C21).</w:t>
            </w:r>
          </w:p>
        </w:tc>
      </w:tr>
      <w:tr>
        <w:tc>
          <w:tcPr>
            <w:tcW w:type="dxa" w:w="4320"/>
          </w:tcPr>
          <w:p>
            <w:r>
              <w:t>Điều kiện</w:t>
            </w:r>
          </w:p>
        </w:tc>
        <w:tc>
          <w:tcPr>
            <w:tcW w:type="dxa" w:w="4320"/>
          </w:tcPr>
          <w:p>
            <w:r>
              <w:t>Thu ngân đã đăng nhập (JWT, quyền billing:process). Hóa đơn tồn tại.</w:t>
            </w:r>
          </w:p>
        </w:tc>
      </w:tr>
    </w:tbl>
    <w:p>
      <w:r>
        <w:rPr>
          <w:b/>
        </w:rPr>
        <w:t>Luồng sự kiện chính (Thành công)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STT</w:t>
            </w:r>
          </w:p>
        </w:tc>
        <w:tc>
          <w:tcPr>
            <w:tcW w:type="dxa" w:w="2160"/>
          </w:tcPr>
          <w:p>
            <w:r>
              <w:rPr>
                <w:b/>
              </w:rPr>
              <w:t>Thực hiện bởi</w:t>
            </w:r>
          </w:p>
        </w:tc>
        <w:tc>
          <w:tcPr>
            <w:tcW w:type="dxa" w:w="2160"/>
          </w:tcPr>
          <w:p>
            <w:r>
              <w:rPr>
                <w:b/>
              </w:rPr>
              <w:t>Mô tả hành động</w:t>
            </w:r>
          </w:p>
        </w:tc>
        <w:tc>
          <w:tcPr>
            <w:tcW w:type="dxa" w:w="2160"/>
          </w:tcPr>
          <w:p>
            <w:r>
              <w:rPr>
                <w:b/>
              </w:rPr>
              <w:t>Kết quả hệ thống</w:t>
            </w:r>
          </w:p>
        </w:tc>
      </w:tr>
      <w:tr>
        <w:tc>
          <w:tcPr>
            <w:tcW w:type="dxa" w:w="2160"/>
          </w:tcPr>
          <w:p>
            <w:r>
              <w:t>1</w:t>
            </w:r>
          </w:p>
        </w:tc>
        <w:tc>
          <w:tcPr>
            <w:tcW w:type="dxa" w:w="2160"/>
          </w:tcPr>
          <w:p>
            <w:r>
              <w:t>Thu ngân</w:t>
            </w:r>
          </w:p>
        </w:tc>
        <w:tc>
          <w:tcPr>
            <w:tcW w:type="dxa" w:w="2160"/>
          </w:tcPr>
          <w:p>
            <w:r>
              <w:t>Chọn hóa đơn cần hủy, nhập lý do.</w:t>
            </w:r>
          </w:p>
        </w:tc>
        <w:tc>
          <w:tcPr>
            <w:tcW w:type="dxa" w:w="2160"/>
          </w:tcPr>
          <w:p>
            <w:r>
              <w:t>Giao diện gọi POST /restaurant/invoices/:id/void ({ void_reason }).</w:t>
            </w:r>
          </w:p>
        </w:tc>
      </w:tr>
      <w:tr>
        <w:tc>
          <w:tcPr>
            <w:tcW w:type="dxa" w:w="2160"/>
          </w:tcPr>
          <w:p>
            <w:r>
              <w:t>2</w:t>
            </w:r>
          </w:p>
        </w:tc>
        <w:tc>
          <w:tcPr>
            <w:tcW w:type="dxa" w:w="2160"/>
          </w:tcPr>
          <w:p>
            <w:r>
              <w:t>Hệ thống</w:t>
            </w:r>
          </w:p>
        </w:tc>
        <w:tc>
          <w:tcPr>
            <w:tcW w:type="dxa" w:w="2160"/>
          </w:tcPr>
          <w:p>
            <w:r>
              <w:t>Đánh dấu hóa đơn VOID, ghi lý do.</w:t>
            </w:r>
          </w:p>
        </w:tc>
        <w:tc>
          <w:tcPr>
            <w:tcW w:type="dxa" w:w="2160"/>
          </w:tcPr>
          <w:p>
            <w:r>
              <w:t>Cập nhật trạng thái VOID; phát billing.invoice_voided.</w:t>
            </w:r>
          </w:p>
        </w:tc>
      </w:tr>
      <w:tr>
        <w:tc>
          <w:tcPr>
            <w:tcW w:type="dxa" w:w="2160"/>
          </w:tcPr>
          <w:p>
            <w:r>
              <w:t>3</w:t>
            </w:r>
          </w:p>
        </w:tc>
        <w:tc>
          <w:tcPr>
            <w:tcW w:type="dxa" w:w="2160"/>
          </w:tcPr>
          <w:p>
            <w:r>
              <w:t>Thu ngân</w:t>
            </w:r>
          </w:p>
        </w:tc>
        <w:tc>
          <w:tcPr>
            <w:tcW w:type="dxa" w:w="2160"/>
          </w:tcPr>
          <w:p>
            <w:r>
              <w:t>Nhận kết quả.</w:t>
            </w:r>
          </w:p>
        </w:tc>
        <w:tc>
          <w:tcPr>
            <w:tcW w:type="dxa" w:w="2160"/>
          </w:tcPr>
          <w:p>
            <w:r>
              <w:t>Hiển thị hóa đơn đã hủy; có thể lập lại.</w:t>
            </w:r>
          </w:p>
        </w:tc>
      </w:tr>
    </w:tbl>
    <w:p>
      <w:r>
        <w:rPr>
          <w:b/>
        </w:rPr>
        <w:t>Luồng sự kiện thay thế</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STT</w:t>
            </w:r>
          </w:p>
        </w:tc>
        <w:tc>
          <w:tcPr>
            <w:tcW w:type="dxa" w:w="2160"/>
          </w:tcPr>
          <w:p>
            <w:r>
              <w:rPr>
                <w:b/>
              </w:rPr>
              <w:t>Thực hiện bởi</w:t>
            </w:r>
          </w:p>
        </w:tc>
        <w:tc>
          <w:tcPr>
            <w:tcW w:type="dxa" w:w="2160"/>
          </w:tcPr>
          <w:p>
            <w:r>
              <w:rPr>
                <w:b/>
              </w:rPr>
              <w:t>Mô tả hành động</w:t>
            </w:r>
          </w:p>
        </w:tc>
        <w:tc>
          <w:tcPr>
            <w:tcW w:type="dxa" w:w="2160"/>
          </w:tcPr>
          <w:p>
            <w:r>
              <w:rPr>
                <w:b/>
              </w:rPr>
              <w:t>Kết quả hệ thống</w:t>
            </w:r>
          </w:p>
        </w:tc>
      </w:tr>
      <w:tr>
        <w:tc>
          <w:tcPr>
            <w:tcW w:type="dxa" w:w="2160"/>
          </w:tcPr>
          <w:p>
            <w:r>
              <w:t>1a</w:t>
            </w:r>
          </w:p>
        </w:tc>
        <w:tc>
          <w:tcPr>
            <w:tcW w:type="dxa" w:w="2160"/>
          </w:tcPr>
          <w:p>
            <w:r>
              <w:t>Hệ thống</w:t>
            </w:r>
          </w:p>
        </w:tc>
        <w:tc>
          <w:tcPr>
            <w:tcW w:type="dxa" w:w="2160"/>
          </w:tcPr>
          <w:p>
            <w:r>
              <w:t>Thiếu invoice_id / hóa đơn không tồn tại.</w:t>
            </w:r>
          </w:p>
        </w:tc>
        <w:tc>
          <w:tcPr>
            <w:tcW w:type="dxa" w:w="2160"/>
          </w:tcPr>
          <w:p>
            <w:r>
              <w:t>Trả lỗi 400/404; không hủy.</w:t>
            </w:r>
          </w:p>
        </w:tc>
      </w:tr>
    </w:tbl>
    <w:p>
      <w:r>
        <w:rPr>
          <w:b/>
        </w:rPr>
        <w:t>Hậu điều kiện</w:t>
      </w:r>
    </w:p>
    <w:tbl>
      <w:tblPr>
        <w:tblStyle w:val="TableGrid"/>
        <w:tblW w:type="auto" w:w="0"/>
        <w:tblLook w:firstColumn="1" w:firstRow="1" w:lastColumn="0" w:lastRow="0" w:noHBand="0" w:noVBand="1" w:val="04A0"/>
      </w:tblPr>
      <w:tblGrid>
        <w:gridCol w:w="4320"/>
        <w:gridCol w:w="4320"/>
      </w:tblGrid>
      <w:tr>
        <w:tc>
          <w:tcPr>
            <w:tcW w:type="dxa" w:w="4320"/>
          </w:tcPr>
          <w:p>
            <w:r>
              <w:rPr>
                <w:b/>
              </w:rPr>
            </w:r>
          </w:p>
        </w:tc>
        <w:tc>
          <w:tcPr>
            <w:tcW w:type="dxa" w:w="4320"/>
          </w:tcPr>
          <w:p>
            <w:r>
              <w:rPr>
                <w:b/>
              </w:rPr>
            </w:r>
          </w:p>
        </w:tc>
      </w:tr>
      <w:tr>
        <w:tc>
          <w:tcPr>
            <w:tcW w:type="dxa" w:w="4320"/>
          </w:tcPr>
          <w:p>
            <w:r>
              <w:t>Thành công</w:t>
            </w:r>
          </w:p>
        </w:tc>
        <w:tc>
          <w:tcPr>
            <w:tcW w:type="dxa" w:w="4320"/>
          </w:tcPr>
          <w:p>
            <w:r>
              <w:t>Hóa đơn VOID, lý do được ghi audit; sự kiện billing.invoice_voided phát realtime; phiên có thể lập lại hóa đơn.</w:t>
            </w:r>
          </w:p>
        </w:tc>
      </w:tr>
      <w:tr>
        <w:tc>
          <w:tcPr>
            <w:tcW w:type="dxa" w:w="4320"/>
          </w:tcPr>
          <w:p>
            <w:r>
              <w:t>Thất bại</w:t>
            </w:r>
          </w:p>
        </w:tc>
        <w:tc>
          <w:tcPr>
            <w:tcW w:type="dxa" w:w="4320"/>
          </w:tcPr>
          <w:p>
            <w:r>
              <w:t>Hóa đơn không tồn tại → báo lỗi; trạng thái giữ nguyên.</w:t>
            </w:r>
          </w:p>
        </w:tc>
      </w:tr>
    </w:tbl>
    <w:p>
      <w:pPr>
        <w:pStyle w:val="Heading2"/>
      </w:pPr>
      <w:r>
        <w:t>3) Sơ đồ tuần tự (Sequence)</w:t>
      </w:r>
    </w:p>
    <w:p>
      <w:r>
        <w:rPr>
          <w:rFonts w:ascii="Consolas" w:hAnsi="Consolas"/>
          <w:sz w:val="18"/>
        </w:rPr>
        <w:t>@startuml</w:t>
        <w:br/>
        <w:t>actor "Thu ngân" as A</w:t>
        <w:br/>
        <w:t>participant "Giao diện" as UI</w:t>
        <w:br/>
        <w:t>participant "Backend" as BE</w:t>
        <w:br/>
        <w:t>database "Database" as DB</w:t>
        <w:br/>
        <w:br/>
        <w:t>A -&gt; UI : Chọn hóa đơn cần hủy + nhập lý do</w:t>
        <w:br/>
        <w:t>UI -&gt; BE : POST /restaurant/invoices/:id/void { void_reason }</w:t>
        <w:br/>
        <w:t>BE -&gt; DB : Đánh dấu hóa đơn VOID, ghi lý do</w:t>
        <w:br/>
        <w:t>note over BE : Phát realtime billing.invoice_voided</w:t>
        <w:br/>
        <w:t>DB --&gt; BE : OK</w:t>
        <w:br/>
        <w:t>BE --&gt; UI : Hóa đơn đã hủy</w:t>
        <w:br/>
        <w:t>UI --&gt; A : Hiển thị đã hủy (có thể lập lại)</w:t>
        <w:br/>
        <w:t>@enduml</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