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Mô tả nhóm: Use-case mô tả nghiệp vụ thu ngân xử lý cuối phiên: xem phiên chờ</w:t>
        <w:br/>
        <w:t>thanh toán, lập/điều chỉnh hóa đơn (snapshot), xử lý thanh toán (tiền mặt / thẻ /</w:t>
        <w:br/>
        <w:t>ví điện tử 2 pha) và in hóa đơn.</w:t>
        <w:br/>
        <w:t>Group: THU NGÂN (CASHIER)</w:t>
        <w:br/>
        <w:t>Nguồn luồng: docs/sequence-diagrams-4cot.md — "UC-23 — Xử lý thanh toán"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UC-C23 — Xử lý thanh toán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XỬ LÝ THANH TOÁN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«Xử lý thanh toán»; use-case «include» «Ghi giao dịch &amp; cập nhật hóa đơn». Nhánh ví điện tử «include» «Khởi tạo giao dịch cổng» (pha 1) và «Xác thực webhook» (pha 2) với tác nhân phụ </w:t>
      </w:r>
      <w:r>
        <w:rPr>
          <w:b/>
        </w:rPr>
        <w:t>Cổng thanh toán</w:t>
      </w:r>
      <w:r>
        <w:t xml:space="preserve">. Webhook phải </w:t>
      </w:r>
      <w:r>
        <w:rPr>
          <w:b/>
        </w:rPr>
        <w:t>idempotent</w:t>
      </w:r>
      <w:r>
        <w:t xml:space="preserve"> — không cộng tiền hai lần. Tiếp nối sau «Lập hóa đơn» (UC-C21) / «Điều chỉnh hóa đơn» (UC-C22).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Xử lý thanh toán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thống, Cổng thanh toán (ví điện tử)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chọn phương thức thanh toán cho hóa đơn. Tiền mặt/thẻ: ghi giao dịch đồng bộ, cập nhật hóa đơn PAID. Ví điện tử (2 pha): tạo payment PENDING, gọi cổng khởi tạo (pha 1) lấy QR/đường dẫn cho khách quét; cổng gọi lại webhook (pha 2) để xác thực và đánh dấu PAID. Webhook idempotent, chống callback trùng và callback thất bại/hết hạn.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billing:process). Hóa đơn của phiên đã được lập và chưa PAID. Với ví điện tử: phương thức có gateway cấu hình.</w:t>
            </w:r>
          </w:p>
        </w:tc>
      </w:tr>
    </w:tbl>
    <w:p>
      <w:r>
        <w:rPr>
          <w:b/>
        </w:rPr>
        <w:t>Luồng sự kiện chính A (Tiền mặt / thẻ — đồng bộ)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Chọn phương thức tiền mặt/thẻ, nhập số tiền / xác nhận.</w:t>
            </w:r>
          </w:p>
        </w:tc>
        <w:tc>
          <w:tcPr>
            <w:tcW w:type="dxa" w:w="2160"/>
          </w:tcPr>
          <w:p>
            <w:r>
              <w:t>Giao diện gọi POST /restaurant/invoices/:id/pay (payment_method_code loại CASH/CARD).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Ghi giao dịch + cập nhật hóa đơn.</w:t>
            </w:r>
          </w:p>
        </w:tc>
        <w:tc>
          <w:tcPr>
            <w:tcW w:type="dxa" w:w="2160"/>
          </w:tcPr>
          <w:p>
            <w:r>
              <w:t>Đánh dấu hóa đơn PAID, ghi giao dịch; phát billing.payment_paid.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Hiển thị "đã thanh toán".</w:t>
            </w:r>
          </w:p>
        </w:tc>
      </w:tr>
    </w:tbl>
    <w:p>
      <w:r>
        <w:rPr>
          <w:b/>
        </w:rPr>
        <w:t>Luồng sự kiện chính B (Ví điện tử — 2 pha bất đồng bộ)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Chọn ví điện tử (MoMo/ZaloPay).</w:t>
            </w:r>
          </w:p>
        </w:tc>
        <w:tc>
          <w:tcPr>
            <w:tcW w:type="dxa" w:w="2160"/>
          </w:tcPr>
          <w:p>
            <w:r>
              <w:t>Giao diện gọi POST /restaurant/invoices/:id/pay (payment_method_code loại E_WALLET).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Tạo payment PENDING, gọi cổng khởi tạo (pha 1).</w:t>
            </w:r>
          </w:p>
        </w:tc>
        <w:tc>
          <w:tcPr>
            <w:tcW w:type="dxa" w:w="2160"/>
          </w:tcPr>
          <w:p>
            <w:r>
              <w:t>PrepareAsyncPayment → gateway.Initiate → nhận QR/đường dẫn; phát billing.payment_initiated.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Hiển thị QR cho khách quét trả; có thể chuyển sang phiên khác trong khi chờ.</w:t>
            </w:r>
          </w:p>
        </w:tc>
        <w:tc>
          <w:tcPr>
            <w:tcW w:type="dxa" w:w="2160"/>
          </w:tcPr>
          <w:p>
            <w:r>
              <w:t>Hóa đơn giữ chưa thanh toán, chờ webhook.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Cổng thanh toán</w:t>
            </w:r>
          </w:p>
        </w:tc>
        <w:tc>
          <w:tcPr>
            <w:tcW w:type="dxa" w:w="2160"/>
          </w:tcPr>
          <w:p>
            <w:r>
              <w:t>Gọi lại webhook (pha 2) POST /billing/payments/webhook/:provider.</w:t>
            </w:r>
          </w:p>
        </w:tc>
        <w:tc>
          <w:tcPr>
            <w:tcW w:type="dxa" w:w="2160"/>
          </w:tcPr>
          <w:p>
            <w:r>
              <w:t>Xác thực chữ ký/nội dung, đánh dấu PAID idempotent; phát billing.payment_paid; giao diện cập nhật ở nền.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B2a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Phương thức E_WALLET nhưng chưa cấu hình gateway.</w:t>
            </w:r>
          </w:p>
        </w:tc>
        <w:tc>
          <w:tcPr>
            <w:tcW w:type="dxa" w:w="2160"/>
          </w:tcPr>
          <w:p>
            <w:r>
              <w:t>Từ chối khởi tạo; báo lỗi phương thức chưa khả dụng.</w:t>
            </w:r>
          </w:p>
        </w:tc>
      </w:tr>
      <w:tr>
        <w:tc>
          <w:tcPr>
            <w:tcW w:type="dxa" w:w="2160"/>
          </w:tcPr>
          <w:p>
            <w:r>
              <w:t>B4a</w:t>
            </w:r>
          </w:p>
        </w:tc>
        <w:tc>
          <w:tcPr>
            <w:tcW w:type="dxa" w:w="2160"/>
          </w:tcPr>
          <w:p>
            <w:r>
              <w:t>Cổng thanh toán</w:t>
            </w:r>
          </w:p>
        </w:tc>
        <w:tc>
          <w:tcPr>
            <w:tcW w:type="dxa" w:w="2160"/>
          </w:tcPr>
          <w:p>
            <w:r>
              <w:t>Callback báo thất bại / hết hạn.</w:t>
            </w:r>
          </w:p>
        </w:tc>
        <w:tc>
          <w:tcPr>
            <w:tcW w:type="dxa" w:w="2160"/>
          </w:tcPr>
          <w:p>
            <w:r>
              <w:t>Giữ hóa đơn chưa thanh toán; cho thu ngân thử lại / đổi phương thức.</w:t>
            </w:r>
          </w:p>
        </w:tc>
      </w:tr>
      <w:tr>
        <w:tc>
          <w:tcPr>
            <w:tcW w:type="dxa" w:w="2160"/>
          </w:tcPr>
          <w:p>
            <w:r>
              <w:t>B4b</w:t>
            </w:r>
          </w:p>
        </w:tc>
        <w:tc>
          <w:tcPr>
            <w:tcW w:type="dxa" w:w="2160"/>
          </w:tcPr>
          <w:p>
            <w:r>
              <w:t>Cổng thanh toán</w:t>
            </w:r>
          </w:p>
        </w:tc>
        <w:tc>
          <w:tcPr>
            <w:tcW w:type="dxa" w:w="2160"/>
          </w:tcPr>
          <w:p>
            <w:r>
              <w:t>Callback lặp lại (trùng).</w:t>
            </w:r>
          </w:p>
        </w:tc>
        <w:tc>
          <w:tcPr>
            <w:tcW w:type="dxa" w:w="2160"/>
          </w:tcPr>
          <w:p>
            <w:r>
              <w:t>Idempotent — bỏ qua, không cộng tiền hai lần; trạng thái giữ nguyên PAID.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(Dev) Mô phỏng hoàn tất thanh toán ví.</w:t>
            </w:r>
          </w:p>
        </w:tc>
        <w:tc>
          <w:tcPr>
            <w:tcW w:type="dxa" w:w="2160"/>
          </w:tcPr>
          <w:p>
            <w:r>
              <w:t>POST /billing/payments/mock/complete (payment_number, result) — chỉ môi trường dev/mock.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Hóa đơn PAID, giao dịch được ghi; ví điện tử: payment PENDING → PAID qua webhook đã xác thực. Số tiền không bị cộng trùng. Sự kiện billing.payment_paid phát realtime.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Ví thất bại/hết hạn → hóa đơn giữ chưa thanh toán, cho thử lại/đổi phương thức. Callback trùng bị bỏ qua idempotent.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t>participant "Cổng thanh toán" as GW</w:t>
        <w:br/>
        <w:br/>
        <w:t>A -&gt; UI : Chọn phương thức thanh toán</w:t>
        <w:br/>
        <w:t>alt Tiền mặt / thẻ</w:t>
        <w:br/>
        <w:t xml:space="preserve">    A -&gt; UI : Nhập số tiền / xác nhận</w:t>
        <w:br/>
        <w:t xml:space="preserve">    UI -&gt; BE : POST /invoices/:id/pay (CASH/CARD)</w:t>
        <w:br/>
        <w:t xml:space="preserve">    BE -&gt; DB : Ghi giao dịch + cập nhật hóa đơn PAID</w:t>
        <w:br/>
        <w:t xml:space="preserve">    DB --&gt; BE : OK</w:t>
        <w:br/>
        <w:t xml:space="preserve">    BE --&gt; UI : Thanh toán thành công</w:t>
        <w:br/>
        <w:t xml:space="preserve">    UI --&gt; A : Hiển thị đã thanh toán</w:t>
        <w:br/>
        <w:t>else Ví điện tử (2 pha)</w:t>
        <w:br/>
        <w:t xml:space="preserve">    UI -&gt; BE : POST /invoices/:id/pay (E_WALLET)</w:t>
        <w:br/>
        <w:t xml:space="preserve">    BE -&gt; DB : Tạo payment PENDING</w:t>
        <w:br/>
        <w:t xml:space="preserve">    BE -&gt; GW : Pha 1 - Khởi tạo giao dịch</w:t>
        <w:br/>
        <w:t xml:space="preserve">    GW --&gt; BE : QR / đường dẫn cổng</w:t>
        <w:br/>
        <w:t xml:space="preserve">    BE --&gt; UI : Hiển thị QR cổng thanh toán</w:t>
        <w:br/>
        <w:t xml:space="preserve">    UI --&gt; A : Chờ khách quét trả</w:t>
        <w:br/>
        <w:t xml:space="preserve">    opt Thu ngân chuyển sang phiên khác trong khi chờ</w:t>
        <w:br/>
        <w:t xml:space="preserve">        A -&gt; UI : Mở phiên khác</w:t>
        <w:br/>
        <w:t xml:space="preserve">    end</w:t>
        <w:br/>
        <w:t xml:space="preserve">    GW -&gt; BE : Pha 2 - Webhook /billing/payments/webhook/:provider</w:t>
        <w:br/>
        <w:t xml:space="preserve">    BE -&gt; DB : Xác thực + đánh dấu PAID (idempotent)</w:t>
        <w:br/>
        <w:t xml:space="preserve">    alt Cổng báo thất bại / hết hạn</w:t>
        <w:br/>
        <w:t xml:space="preserve">        GW -&gt; BE : Callback thất bại</w:t>
        <w:br/>
        <w:t xml:space="preserve">        BE -&gt; DB : Giữ hóa đơn chưa thanh toán</w:t>
        <w:br/>
        <w:t xml:space="preserve">        BE --&gt; UI : Cho thử lại / đổi phương thức</w:t>
        <w:br/>
        <w:t xml:space="preserve">    else Webhook lặp lại</w:t>
        <w:br/>
        <w:t xml:space="preserve">        GW -&gt; BE : Callback trùng</w:t>
        <w:br/>
        <w:t xml:space="preserve">        note over BE : Idempotent - không cộng tiền hai lần</w:t>
        <w:br/>
        <w:t xml:space="preserve">    end</w:t>
        <w:br/>
        <w:t xml:space="preserve">    DB --&gt; BE : Hóa đơn PAID</w:t>
        <w:br/>
        <w:t xml:space="preserve">    BE --&gt; UI : Cập nhật trạng thái (nền)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