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3"/>
      </w:pPr>
      <w:bookmarkStart w:id="901" w:name="_TocN901"/>
      <w:bookmarkEnd w:id="901"/>
      <w:r>
        <w:t>3.4.1. Hoàn thiện lịch truyền RS485</w:t>
      </w:r>
    </w:p>
    <w:p>
      <w:pPr>
        <w:ind w:firstLine="567"/>
        <w:jc w:val="both"/>
      </w:pPr>
      <w:r>
        <w:rPr>
          <w:b/>
          <w:i/>
        </w:rPr>
        <w:t xml:space="preserve">a) Vấn đề của cấu hình đầu vào. </w:t>
      </w:r>
      <w:r>
        <w:t xml:space="preserve">Sau khâu tạo dạng, </w:t>
      </w:r>
      <w:r>
        <w:rPr>
          <w:i/>
        </w:rPr>
        <w:t>e</w:t>
      </w:r>
      <w:r>
        <w:rPr>
          <w:vertAlign w:val="subscript"/>
        </w:rPr>
        <w:t>rms</w:t>
      </w:r>
      <w:r>
        <w:t xml:space="preserve"> tái hiện của trục Pitch (0,212°) lớn hơn trục Yaw (0,152°) dù Pitch có quán tính nhỏ hơn. Hai động cơ dùng chung bus RS485 bán song công nên mỗi thời điểm chỉ có một giao dịch. Với lịch ưu tiên Yaw, mỗi khe 5 ms luôn dành cho Yaw; giao dịch Pitch chỉ được ghép vào khe xen kẽ khi giao dịch Yaw kết thúc trong 2,25 ms, nếu không lượt Pitch bị hoãn sang khe sau. Trên Hình 3.19a, hai giao dịch Yaw 4,3 ms và 2,9 ms làm lượt Pitch bị hoãn hai lần, khoảng cập nhật tăng từ 10 lên 20 ms. Độ đều của lịch được đánh giá bằng khoảng cập nhật và độ lệch chuẩn của nó:</w:t>
      </w:r>
    </w:p>
    <w:p>
      <w:pPr>
        <w:keepNext/>
        <w:spacing w:before="100" w:after="60"/>
        <w:ind w:firstLine="0"/>
        <w:jc w:val="center"/>
      </w:pPr>
      <w:r>
        <w:drawing>
          <wp:inline xmlns:a="http://schemas.openxmlformats.org/drawingml/2006/main" xmlns:pic="http://schemas.openxmlformats.org/drawingml/2006/picture">
            <wp:extent cx="5643372" cy="4821936"/>
            <wp:docPr id="1" name="Picture 1"/>
            <wp:cNvGraphicFramePr>
              <a:graphicFrameLocks noChangeAspect="1"/>
            </wp:cNvGraphicFramePr>
            <a:graphic>
              <a:graphicData uri="http://schemas.openxmlformats.org/drawingml/2006/picture">
                <pic:pic>
                  <pic:nvPicPr>
                    <pic:cNvPr id="0" name="h3_19_lich_rs485.png"/>
                    <pic:cNvPicPr/>
                  </pic:nvPicPr>
                  <pic:blipFill>
                    <a:blip r:embed="rId65"/>
                    <a:stretch>
                      <a:fillRect/>
                    </a:stretch>
                  </pic:blipFill>
                  <pic:spPr>
                    <a:xfrm>
                      <a:off x="0" y="0"/>
                      <a:ext cx="5643372" cy="4821936"/>
                    </a:xfrm>
                    <a:prstGeom prst="rect"/>
                  </pic:spPr>
                </pic:pic>
              </a:graphicData>
            </a:graphic>
          </wp:inline>
        </w:drawing>
      </w:r>
    </w:p>
    <w:p>
      <w:pPr>
        <w:pStyle w:val="FigCap"/>
      </w:pPr>
      <w:bookmarkStart w:id="902" w:name="_TocN902"/>
      <w:bookmarkEnd w:id="902"/>
      <w:r>
        <w:t>Hình 3.19. Ảnh hưởng của lịch truyền RS485 tới khoảng cập nhật và sai lệch trục Pitch</w:t>
      </w:r>
    </w:p>
    <w:p>
      <w:pPr>
        <w:tabs>
          <w:tab w:val="center" w:pos="4536"/>
          <w:tab w:val="right" w:pos="9071"/>
        </w:tabs>
        <w:spacing w:before="120" w:after="120"/>
        <w:ind w:firstLine="0"/>
      </w:pPr>
      <w:r>
        <w:tab/>
      </w:r>
      <m:oMath>
        <m:sSub>
          <m:e>
            <m:r>
              <w:rPr>
                <w:rFonts w:ascii="Cambria Math" w:hAnsi="Cambria Math"/>
              </w:rPr>
              <m:t xml:space="preserve">Δ</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i,k</m:t>
            </m:r>
            <m:r>
              <m:rPr>
                <m:sty m:val="p"/>
              </m:rPr>
              <w:rPr>
                <w:rFonts w:ascii="Cambria Math" w:hAnsi="Cambria Math"/>
              </w:rPr>
              <m:t xml:space="preserve">−1</m:t>
            </m:r>
          </m:sub>
        </m:sSub>
        <m:r>
          <m:rPr>
            <m:sty m:val="p"/>
          </m:rP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Δ,</m:t>
            </m:r>
            <m:r>
              <w:rPr>
                <w:rFonts w:ascii="Cambria Math" w:hAnsi="Cambria Math"/>
              </w:rPr>
              <m:t xml:space="preserve">i</m:t>
            </m:r>
          </m:sub>
        </m:sSub>
        <m:r>
          <m:rPr>
            <m:sty m:val="p"/>
          </m:rPr>
          <w:rPr>
            <w:rFonts w:ascii="Cambria Math" w:hAnsi="Cambria Math"/>
          </w:rPr>
          <m:t xml:space="preserve">=</m:t>
        </m:r>
        <m:rad>
          <m:radPr>
            <m:degHide m:val="1"/>
          </m:radPr>
          <m:deg/>
          <m:e>
            <m:f>
              <m:num>
                <m:r>
                  <m:rPr>
                    <m:sty m:val="p"/>
                  </m:rPr>
                  <w:rPr>
                    <w:rFonts w:ascii="Cambria Math" w:hAnsi="Cambria Math"/>
                  </w:rPr>
                  <m:t xml:space="preserve">1</m:t>
                </m:r>
              </m:num>
              <m:den>
                <m:r>
                  <w:rPr>
                    <w:rFonts w:ascii="Cambria Math" w:hAnsi="Cambria Math"/>
                  </w:rPr>
                  <m:t xml:space="preserve">N</m:t>
                </m:r>
                <m:r>
                  <m:rPr>
                    <m:sty m:val="p"/>
                  </m:rPr>
                  <w:rPr>
                    <w:rFonts w:ascii="Cambria Math" w:hAnsi="Cambria Math"/>
                  </w:rPr>
                  <m:t xml:space="preserve">−1</m:t>
                </m:r>
              </m:den>
            </m:f>
            <m:nary>
              <m:naryPr>
                <m:chr m:val="∑"/>
              </m:naryPr>
              <m:sub>
                <m:r>
                  <w:rPr>
                    <w:rFonts w:ascii="Cambria Math" w:hAnsi="Cambria Math"/>
                  </w:rPr>
                  <m:t xml:space="preserve">k</m:t>
                </m:r>
                <m:r>
                  <m:rPr>
                    <m:sty m:val="p"/>
                  </m:rP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Δ</m:t>
                            </m:r>
                          </m:e>
                          <m:sub>
                            <m:r>
                              <w:rPr>
                                <w:rFonts w:ascii="Cambria Math" w:hAnsi="Cambria Math"/>
                              </w:rPr>
                              <m:t xml:space="preserve">i,k</m:t>
                            </m:r>
                          </m:sub>
                        </m:sSub>
                        <m:r>
                          <m:rPr>
                            <m:sty m:val="p"/>
                          </m:rPr>
                          <w:rPr>
                            <w:rFonts w:ascii="Cambria Math" w:hAnsi="Cambria Math"/>
                          </w:rPr>
                          <m:t xml:space="preserve">−</m:t>
                        </m:r>
                        <m:sSub>
                          <m:e>
                            <m:acc>
                              <m:accPr>
                                <m:chr m:val="̅"/>
                              </m:accPr>
                              <m:e>
                                <m:r>
                                  <w:rPr>
                                    <w:rFonts w:ascii="Cambria Math" w:hAnsi="Cambria Math"/>
                                  </w:rPr>
                                  <m:t xml:space="preserve">Δ</m:t>
                                </m:r>
                              </m:e>
                            </m:acc>
                          </m:e>
                          <m:sub>
                            <m:r>
                              <w:rPr>
                                <w:rFonts w:ascii="Cambria Math" w:hAnsi="Cambria Math"/>
                              </w:rPr>
                              <m:t xml:space="preserve">i</m:t>
                            </m:r>
                          </m:sub>
                        </m:sSub>
                      </m:e>
                    </m:d>
                  </m:e>
                  <m:sup>
                    <m:r>
                      <m:rPr>
                        <m:sty m:val="p"/>
                      </m:rPr>
                      <w:rPr>
                        <w:rFonts w:ascii="Cambria Math" w:hAnsi="Cambria Math"/>
                      </w:rPr>
                      <m:t xml:space="preserve">2</m:t>
                    </m:r>
                  </m:sup>
                </m:sSup>
              </m:e>
            </m:nary>
          </m:e>
        </m:rad>
      </m:oMath>
      <w:r>
        <w:tab/>
        <w:t>(3.7)</w:t>
      </w:r>
    </w:p>
    <w:p>
      <w:pPr>
        <w:ind w:firstLine="567"/>
        <w:jc w:val="both"/>
      </w:pPr>
      <w:r>
        <w:t xml:space="preserve">trong đó </w:t>
      </w:r>
      <w:r>
        <w:rPr>
          <w:i/>
        </w:rPr>
        <w:t>t</w:t>
      </w:r>
      <w:r>
        <w:rPr>
          <w:vertAlign w:val="subscript"/>
        </w:rPr>
        <w:t>i,k</w:t>
      </w:r>
      <w:r>
        <w:t xml:space="preserve"> là thời điểm phát lệnh thứ </w:t>
      </w:r>
      <w:r>
        <w:rPr>
          <w:i/>
        </w:rPr>
        <w:t>k</w:t>
      </w:r>
      <w:r>
        <w:t xml:space="preserve"> của trục </w:t>
      </w:r>
      <w:r>
        <w:rPr>
          <w:i/>
        </w:rPr>
        <w:t>i</w:t>
      </w:r>
      <w:r>
        <w:t xml:space="preserve">, </w:t>
      </w:r>
      <w:r>
        <w:rPr>
          <w:i/>
        </w:rPr>
        <w:t>N</w:t>
      </w:r>
      <w:r>
        <w:t xml:space="preserve"> là số lần phát lệnh, </w:t>
      </w:r>
      <w:r>
        <w:rPr>
          <w:i/>
        </w:rPr>
        <w:t>Δ̄</w:t>
      </w:r>
      <w:r>
        <w:rPr>
          <w:vertAlign w:val="subscript"/>
        </w:rPr>
        <w:t>i</w:t>
      </w:r>
      <w:r>
        <w:t xml:space="preserve"> là khoảng cập nhật trung bình. Trên 100 s mô phỏng theo sự kiện, trục Pitch có </w:t>
      </w:r>
      <w:r>
        <w:rPr>
          <w:i/>
        </w:rPr>
        <w:t>Δ</w:t>
      </w:r>
      <w:r>
        <w:t xml:space="preserve"> trung bình 10,9 ms nhưng 14,5 % số lần từ 13 ms trở lên, lớn nhất 32,3 ms, </w:t>
      </w:r>
      <w:r>
        <w:rPr>
          <w:i/>
        </w:rPr>
        <w:t>σ</w:t>
      </w:r>
      <w:r>
        <w:rPr>
          <w:vertAlign w:val="subscript"/>
        </w:rPr>
        <w:t>Δ</w:t>
      </w:r>
      <w:r>
        <w:t xml:space="preserve"> = 2,25 ms; trục Yaw gần như đều (</w:t>
      </w:r>
      <w:r>
        <w:rPr>
          <w:i/>
        </w:rPr>
        <w:t>σ</w:t>
      </w:r>
      <w:r>
        <w:rPr>
          <w:vertAlign w:val="subscript"/>
        </w:rPr>
        <w:t>Δ</w:t>
      </w:r>
      <w:r>
        <w:t xml:space="preserve"> = 0,40 ms) (Hình 3.19c).</w:t>
      </w:r>
    </w:p>
    <w:p>
      <w:pPr>
        <w:ind w:firstLine="567"/>
        <w:jc w:val="both"/>
      </w:pPr>
      <w:r>
        <w:t xml:space="preserve">Khoảng cập nhật không đều làm sai khâu bù trễ: ngoại suy (2.14) giả thiết độ trễ không đổi </w:t>
      </w:r>
      <w:r>
        <w:rPr>
          <w:i/>
        </w:rPr>
        <w:t>τ</w:t>
      </w:r>
      <w:r>
        <w:rPr>
          <w:vertAlign w:val="subscript"/>
        </w:rPr>
        <w:t>p</w:t>
      </w:r>
      <w:r>
        <w:t xml:space="preserve"> = 12 ms, còn khi </w:t>
      </w:r>
      <w:r>
        <w:rPr>
          <w:i/>
        </w:rPr>
        <w:t>Δ</w:t>
      </w:r>
      <w:r>
        <w:t xml:space="preserve"> kéo dài, động cơ giữ lệnh cũ thêm (</w:t>
      </w:r>
      <w:r>
        <w:rPr>
          <w:i/>
        </w:rPr>
        <w:t>Δ</w:t>
      </w:r>
      <w:r>
        <w:t xml:space="preserve"> − 10 ms) nên lệnh thiếu xấp xỉ </w:t>
      </w:r>
      <w:r>
        <w:rPr>
          <w:i/>
        </w:rPr>
        <w:t>α</w:t>
      </w:r>
      <w:r>
        <w:rPr>
          <w:vertAlign w:val="subscript"/>
        </w:rPr>
        <w:t>b</w:t>
      </w:r>
      <w:r>
        <w:t>(</w:t>
      </w:r>
      <w:r>
        <w:rPr>
          <w:i/>
        </w:rPr>
        <w:t>Δ</w:t>
      </w:r>
      <w:r>
        <w:t xml:space="preserve"> − 10 ms) khi khung mang tăng tốc. Mô phỏng tái hiện chạy theo cặp – cùng chuỗi nhiễu, chỉ thay thời điểm cập nhật Pitch bằng lưới đều 10 ms – cho thấy sai lệch lớn nhất trong một khoảng cập nhật cao hơn 4 %, 8 % và 22 % khi </w:t>
      </w:r>
      <w:r>
        <w:rPr>
          <w:i/>
        </w:rPr>
        <w:t>Δ</w:t>
      </w:r>
      <w:r>
        <w:t xml:space="preserve"> ≈ 10 ms, ≈ 15 ms và ≥ 20 ms (Hình 3.19d); riêng việc làm đều </w:t>
      </w:r>
      <w:r>
        <w:rPr>
          <w:i/>
        </w:rPr>
        <w:t>Δ</w:t>
      </w:r>
      <w:r>
        <w:t xml:space="preserve"> giảm </w:t>
      </w:r>
      <w:r>
        <w:rPr>
          <w:i/>
        </w:rPr>
        <w:t>e</w:t>
      </w:r>
      <w:r>
        <w:rPr>
          <w:vertAlign w:val="subscript"/>
        </w:rPr>
        <w:t>rms</w:t>
      </w:r>
      <w:r>
        <w:t xml:space="preserve"> Pitch 5,5 %, trục Yaw không đổi. Vì vậy yêu cầu đối với lịch truyền là khoảng cập nhật của cả hai trục có cận trên xác định.</w:t>
      </w:r>
    </w:p>
    <w:p>
      <w:pPr>
        <w:ind w:firstLine="567"/>
        <w:jc w:val="both"/>
      </w:pPr>
      <w:r>
        <w:rPr>
          <w:b/>
          <w:i/>
        </w:rPr>
        <w:t xml:space="preserve">b) Mô phỏng khảo sát và lựa chọn phương án. </w:t>
      </w:r>
      <w:r>
        <w:t xml:space="preserve">Ba tiêu chí xếp theo thứ tự ưu tiên: (1) </w:t>
      </w:r>
      <w:r>
        <w:rPr>
          <w:i/>
        </w:rPr>
        <w:t>Δ</w:t>
      </w:r>
      <w:r>
        <w:t xml:space="preserve"> của mỗi trục có cận trên xác định và </w:t>
      </w:r>
      <w:r>
        <w:rPr>
          <w:i/>
        </w:rPr>
        <w:t>σ</w:t>
      </w:r>
      <w:r>
        <w:rPr>
          <w:vertAlign w:val="subscript"/>
        </w:rPr>
        <w:t>Δ</w:t>
      </w:r>
      <w:r>
        <w:t xml:space="preserve"> nhỏ; (2) </w:t>
      </w:r>
      <w:r>
        <w:rPr>
          <w:i/>
        </w:rPr>
        <w:t>e</w:t>
      </w:r>
      <w:r>
        <w:rPr>
          <w:vertAlign w:val="subscript"/>
        </w:rPr>
        <w:t>rms</w:t>
      </w:r>
      <w:r>
        <w:t xml:space="preserve"> của trục kém hơn trong hai trục nhỏ nhất; (3) mỗi khe còn ít nhất 1 ms dự trữ sau cửa sổ giao dịch lớn nhất để hấp thụ trễ của luồng RS485. Bốn phương án được so sánh: lịch ưu tiên Yaw và lịch luân phiên (2.33) với khe 4, 5, 6 ms. Mỗi phương án được mô phỏng theo sự kiện 100 s, thời gian giao dịch 2,25 ms (86 %), 2,5 – 3,25 ms (11,5 %) hoặc 4 – 7,5 ms (2,5 %, khi luồng bị chen ngang), giao dịch tràn khe thì mốc khe sau đặt lại từ lúc hoàn tất; sau đó đưa vào vòng kín trên mô hình danh định với </w:t>
      </w:r>
      <w:r>
        <w:rPr>
          <w:i/>
        </w:rPr>
        <w:t>τ</w:t>
      </w:r>
      <w:r>
        <w:rPr>
          <w:vertAlign w:val="subscript"/>
        </w:rPr>
        <w:t>p</w:t>
      </w:r>
      <w:r>
        <w:t xml:space="preserve"> = 12 ms (Hình 3.20, Bảng 3.12).</w:t>
      </w:r>
    </w:p>
    <w:p>
      <w:pPr>
        <w:ind w:firstLine="567"/>
        <w:jc w:val="both"/>
      </w:pPr>
      <w:r>
        <w:t xml:space="preserve">Lịch luân phiên loại bỏ việc hoãn lượt vì mỗi trục có khe riêng; giao dịch dài chỉ kéo dài </w:t>
      </w:r>
      <w:r>
        <w:rPr>
          <w:i/>
        </w:rPr>
        <w:t>Δ</w:t>
      </w:r>
      <w:r>
        <w:t xml:space="preserve"> thêm đúng phần tràn khe (Hình 3.19b). Với khe 5 ms, </w:t>
      </w:r>
      <w:r>
        <w:rPr>
          <w:i/>
        </w:rPr>
        <w:t>σ</w:t>
      </w:r>
      <w:r>
        <w:rPr>
          <w:vertAlign w:val="subscript"/>
        </w:rPr>
        <w:t>Δ</w:t>
      </w:r>
      <w:r>
        <w:t xml:space="preserve"> của Pitch giảm từ 2,25 xuống 0,27 ms, </w:t>
      </w:r>
      <w:r>
        <w:rPr>
          <w:i/>
        </w:rPr>
        <w:t>Δ</w:t>
      </w:r>
      <w:r>
        <w:t xml:space="preserve"> lớn nhất từ 32,3 xuống 12,5 ms (Hình 3.20b). Cái giá là Yaw chỉ còn 100 Hz thay vì 197 Hz (Hình 3.20a), lệnh Yaw bị giữ lâu hơn trung bình 2,5 ms nên </w:t>
      </w:r>
      <w:r>
        <w:rPr>
          <w:i/>
        </w:rPr>
        <w:t>e</w:t>
      </w:r>
      <w:r>
        <w:rPr>
          <w:vertAlign w:val="subscript"/>
        </w:rPr>
        <w:t>rms</w:t>
      </w:r>
      <w:r>
        <w:t xml:space="preserve"> Yaw tăng 20,1 %, Pitch giảm 8,1 %; sai lệch của trục kém hơn giảm từ 0,259° xuống 0,248° (Hình 3.20c).</w:t>
      </w:r>
    </w:p>
    <w:p>
      <w:pPr>
        <w:keepNext/>
        <w:spacing w:before="100" w:after="60"/>
        <w:ind w:firstLine="0"/>
        <w:jc w:val="center"/>
      </w:pPr>
      <w:r>
        <w:drawing>
          <wp:inline xmlns:a="http://schemas.openxmlformats.org/drawingml/2006/main" xmlns:pic="http://schemas.openxmlformats.org/drawingml/2006/picture">
            <wp:extent cx="5623560" cy="3747516"/>
            <wp:docPr id="2" name="Picture 2"/>
            <wp:cNvGraphicFramePr>
              <a:graphicFrameLocks noChangeAspect="1"/>
            </wp:cNvGraphicFramePr>
            <a:graphic>
              <a:graphicData uri="http://schemas.openxmlformats.org/drawingml/2006/picture">
                <pic:pic>
                  <pic:nvPicPr>
                    <pic:cNvPr id="0" name="h3_20_khao_sat_rs485.png"/>
                    <pic:cNvPicPr/>
                  </pic:nvPicPr>
                  <pic:blipFill>
                    <a:blip r:embed="rId66"/>
                    <a:stretch>
                      <a:fillRect/>
                    </a:stretch>
                  </pic:blipFill>
                  <pic:spPr>
                    <a:xfrm>
                      <a:off x="0" y="0"/>
                      <a:ext cx="5623560" cy="3747516"/>
                    </a:xfrm>
                    <a:prstGeom prst="rect"/>
                  </pic:spPr>
                </pic:pic>
              </a:graphicData>
            </a:graphic>
          </wp:inline>
        </w:drawing>
      </w:r>
    </w:p>
    <w:p>
      <w:pPr>
        <w:pStyle w:val="FigCap"/>
      </w:pPr>
      <w:bookmarkStart w:id="903" w:name="_TocN903"/>
      <w:bookmarkEnd w:id="903"/>
      <w:r>
        <w:t>Hình 3.20. Mô phỏng khảo sát phương án lập lịch và độ dài khe RS485</w:t>
      </w:r>
    </w:p>
    <w:p>
      <w:pPr>
        <w:pStyle w:val="TblCap"/>
        <w:keepNext/>
      </w:pPr>
      <w:bookmarkStart w:id="904" w:name="_TocN904"/>
      <w:bookmarkEnd w:id="904"/>
      <w:r>
        <w:t>Bảng 3.12. Kết quả khảo sát phương án lập lịch RS485 (giá trị Yaw / Pitch)</w:t>
      </w:r>
    </w:p>
    <w:tbl>
      <w:tblPr>
        <w:tblStyle w:val="TableGrid1"/>
        <w:tblW w:type="dxa" w:w="9072"/>
        <w:jc w:val="center"/>
        <w:tblLayout w:type="fixed"/>
        <w:tblLook w:firstColumn="1" w:firstRow="1" w:lastColumn="0" w:lastRow="0" w:noHBand="0" w:noVBand="1" w:val="04A0"/>
      </w:tblPr>
      <w:tblGrid>
        <w:gridCol w:w="2375"/>
        <w:gridCol w:w="1096"/>
        <w:gridCol w:w="1157"/>
        <w:gridCol w:w="1218"/>
        <w:gridCol w:w="913"/>
        <w:gridCol w:w="1400"/>
        <w:gridCol w:w="913"/>
      </w:tblGrid>
      <w:tr>
        <w:trPr>
          <w:tblHeader/>
        </w:trPr>
        <w:tc>
          <w:tcPr>
            <w:tcW w:type="dxa" w:w="2374"/>
            <w:vAlign w:val="center"/>
          </w:tcPr>
          <w:p>
            <w:pPr>
              <w:keepNext/>
              <w:spacing w:before="20" w:after="20" w:line="240" w:lineRule="auto"/>
              <w:ind w:firstLine="0"/>
              <w:jc w:val="left"/>
            </w:pPr>
            <w:r>
              <w:rPr>
                <w:b/>
                <w:sz w:val="20"/>
              </w:rPr>
              <w:t>Phương án</w:t>
            </w:r>
          </w:p>
        </w:tc>
        <w:tc>
          <w:tcPr>
            <w:tcW w:type="dxa" w:w="1096"/>
            <w:vAlign w:val="center"/>
          </w:tcPr>
          <w:p>
            <w:pPr>
              <w:keepNext/>
              <w:spacing w:before="20" w:after="20" w:line="240" w:lineRule="auto"/>
              <w:ind w:firstLine="0"/>
              <w:jc w:val="center"/>
            </w:pPr>
            <w:r>
              <w:rPr>
                <w:b/>
                <w:sz w:val="20"/>
              </w:rPr>
              <w:t>Tần số cập nhật (Hz)</w:t>
            </w:r>
          </w:p>
        </w:tc>
        <w:tc>
          <w:tcPr>
            <w:tcW w:type="dxa" w:w="1157"/>
            <w:vAlign w:val="center"/>
          </w:tcPr>
          <w:p>
            <w:pPr>
              <w:keepNext/>
              <w:spacing w:before="20" w:after="20" w:line="240" w:lineRule="auto"/>
              <w:ind w:firstLine="0"/>
              <w:jc w:val="center"/>
            </w:pPr>
            <w:r>
              <w:rPr>
                <w:b/>
                <w:i/>
                <w:sz w:val="20"/>
              </w:rPr>
              <w:t>σ</w:t>
            </w:r>
            <w:r>
              <w:rPr>
                <w:b/>
                <w:sz w:val="20"/>
                <w:vertAlign w:val="subscript"/>
              </w:rPr>
              <w:t>Δ</w:t>
            </w:r>
            <w:r>
              <w:rPr>
                <w:b/>
                <w:sz w:val="20"/>
              </w:rPr>
              <w:t xml:space="preserve"> (ms)</w:t>
            </w:r>
          </w:p>
        </w:tc>
        <w:tc>
          <w:tcPr>
            <w:tcW w:type="dxa" w:w="1218"/>
            <w:vAlign w:val="center"/>
          </w:tcPr>
          <w:p>
            <w:pPr>
              <w:keepNext/>
              <w:spacing w:before="20" w:after="20" w:line="240" w:lineRule="auto"/>
              <w:ind w:firstLine="0"/>
              <w:jc w:val="center"/>
            </w:pPr>
            <w:r>
              <w:rPr>
                <w:b/>
                <w:i/>
                <w:sz w:val="20"/>
              </w:rPr>
              <w:t>Δ</w:t>
            </w:r>
            <w:r>
              <w:rPr>
                <w:b/>
                <w:sz w:val="20"/>
              </w:rPr>
              <w:t xml:space="preserve"> lớn nhất (ms)</w:t>
            </w:r>
          </w:p>
        </w:tc>
        <w:tc>
          <w:tcPr>
            <w:tcW w:type="dxa" w:w="913"/>
            <w:vAlign w:val="center"/>
          </w:tcPr>
          <w:p>
            <w:pPr>
              <w:keepNext/>
              <w:spacing w:before="20" w:after="20" w:line="240" w:lineRule="auto"/>
              <w:ind w:firstLine="0"/>
              <w:jc w:val="center"/>
            </w:pPr>
            <w:r>
              <w:rPr>
                <w:b/>
                <w:sz w:val="20"/>
              </w:rPr>
              <w:t>Dự trữ khe (ms)</w:t>
            </w:r>
          </w:p>
        </w:tc>
        <w:tc>
          <w:tcPr>
            <w:tcW w:type="dxa" w:w="1400"/>
            <w:vAlign w:val="center"/>
          </w:tcPr>
          <w:p>
            <w:pPr>
              <w:keepNext/>
              <w:spacing w:before="20" w:after="20" w:line="240" w:lineRule="auto"/>
              <w:ind w:firstLine="0"/>
              <w:jc w:val="center"/>
            </w:pPr>
            <w:r>
              <w:rPr>
                <w:b/>
                <w:i/>
                <w:sz w:val="20"/>
              </w:rPr>
              <w:t>e</w:t>
            </w:r>
            <w:r>
              <w:rPr>
                <w:b/>
                <w:sz w:val="20"/>
                <w:vertAlign w:val="subscript"/>
              </w:rPr>
              <w:t>rms</w:t>
            </w:r>
            <w:r>
              <w:rPr>
                <w:b/>
                <w:sz w:val="20"/>
              </w:rPr>
              <w:t xml:space="preserve"> (°)</w:t>
            </w:r>
          </w:p>
        </w:tc>
        <w:tc>
          <w:tcPr>
            <w:tcW w:type="dxa" w:w="913"/>
            <w:vAlign w:val="center"/>
          </w:tcPr>
          <w:p>
            <w:pPr>
              <w:keepNext/>
              <w:spacing w:before="20" w:after="20" w:line="240" w:lineRule="auto"/>
              <w:ind w:firstLine="0"/>
              <w:jc w:val="center"/>
            </w:pPr>
            <w:r>
              <w:rPr>
                <w:b/>
                <w:sz w:val="20"/>
              </w:rPr>
              <w:t>Đánh giá</w:t>
            </w:r>
          </w:p>
        </w:tc>
      </w:tr>
      <w:tr>
        <w:tc>
          <w:tcPr>
            <w:tcW w:type="dxa" w:w="2374"/>
            <w:vAlign w:val="center"/>
          </w:tcPr>
          <w:p>
            <w:pPr>
              <w:spacing w:before="20" w:after="20" w:line="240" w:lineRule="auto"/>
              <w:ind w:firstLine="0"/>
              <w:jc w:val="left"/>
            </w:pPr>
            <w:r>
              <w:rPr>
                <w:sz w:val="20"/>
              </w:rPr>
              <w:t>Ưu tiên Yaw, khe 5 ms</w:t>
            </w:r>
          </w:p>
        </w:tc>
        <w:tc>
          <w:tcPr>
            <w:tcW w:type="dxa" w:w="1096"/>
            <w:vAlign w:val="center"/>
          </w:tcPr>
          <w:p>
            <w:pPr>
              <w:spacing w:before="20" w:after="20" w:line="240" w:lineRule="auto"/>
              <w:ind w:firstLine="0"/>
              <w:jc w:val="center"/>
            </w:pPr>
            <w:r>
              <w:rPr>
                <w:sz w:val="20"/>
              </w:rPr>
              <w:t>197 / 92</w:t>
            </w:r>
          </w:p>
        </w:tc>
        <w:tc>
          <w:tcPr>
            <w:tcW w:type="dxa" w:w="1157"/>
            <w:vAlign w:val="center"/>
          </w:tcPr>
          <w:p>
            <w:pPr>
              <w:spacing w:before="20" w:after="20" w:line="240" w:lineRule="auto"/>
              <w:ind w:firstLine="0"/>
              <w:jc w:val="center"/>
            </w:pPr>
            <w:r>
              <w:rPr>
                <w:sz w:val="20"/>
              </w:rPr>
              <w:t>0,40 / 2,25</w:t>
            </w:r>
          </w:p>
        </w:tc>
        <w:tc>
          <w:tcPr>
            <w:tcW w:type="dxa" w:w="1218"/>
            <w:vAlign w:val="center"/>
          </w:tcPr>
          <w:p>
            <w:pPr>
              <w:spacing w:before="20" w:after="20" w:line="240" w:lineRule="auto"/>
              <w:ind w:firstLine="0"/>
              <w:jc w:val="center"/>
            </w:pPr>
            <w:r>
              <w:rPr>
                <w:sz w:val="20"/>
              </w:rPr>
              <w:t>9,7 / 32,3</w:t>
            </w:r>
          </w:p>
        </w:tc>
        <w:tc>
          <w:tcPr>
            <w:tcW w:type="dxa" w:w="913"/>
            <w:vAlign w:val="center"/>
          </w:tcPr>
          <w:p>
            <w:pPr>
              <w:spacing w:before="20" w:after="20" w:line="240" w:lineRule="auto"/>
              <w:ind w:firstLine="0"/>
              <w:jc w:val="center"/>
            </w:pPr>
            <w:r>
              <w:rPr>
                <w:sz w:val="20"/>
              </w:rPr>
              <w:t>1,5</w:t>
            </w:r>
          </w:p>
        </w:tc>
        <w:tc>
          <w:tcPr>
            <w:tcW w:type="dxa" w:w="1400"/>
            <w:vAlign w:val="center"/>
          </w:tcPr>
          <w:p>
            <w:pPr>
              <w:spacing w:before="20" w:after="20" w:line="240" w:lineRule="auto"/>
              <w:ind w:firstLine="0"/>
              <w:jc w:val="center"/>
            </w:pPr>
            <w:r>
              <w:rPr>
                <w:sz w:val="20"/>
              </w:rPr>
              <w:t>0,206 / 0,259</w:t>
            </w:r>
          </w:p>
        </w:tc>
        <w:tc>
          <w:tcPr>
            <w:tcW w:type="dxa" w:w="913"/>
            <w:vAlign w:val="center"/>
          </w:tcPr>
          <w:p>
            <w:pPr>
              <w:spacing w:before="20" w:after="20" w:line="240" w:lineRule="auto"/>
              <w:ind w:firstLine="0"/>
              <w:jc w:val="center"/>
            </w:pPr>
            <w:r>
              <w:rPr>
                <w:sz w:val="20"/>
              </w:rPr>
              <w:t>Loại (1)</w:t>
            </w:r>
          </w:p>
        </w:tc>
      </w:tr>
      <w:tr>
        <w:tc>
          <w:tcPr>
            <w:tcW w:type="dxa" w:w="2374"/>
            <w:vAlign w:val="center"/>
          </w:tcPr>
          <w:p>
            <w:pPr>
              <w:spacing w:before="20" w:after="20" w:line="240" w:lineRule="auto"/>
              <w:ind w:firstLine="0"/>
              <w:jc w:val="left"/>
            </w:pPr>
            <w:r>
              <w:rPr>
                <w:sz w:val="20"/>
              </w:rPr>
              <w:t>Luân phiên, khe 4 ms</w:t>
            </w:r>
          </w:p>
        </w:tc>
        <w:tc>
          <w:tcPr>
            <w:tcW w:type="dxa" w:w="1096"/>
            <w:vAlign w:val="center"/>
          </w:tcPr>
          <w:p>
            <w:pPr>
              <w:spacing w:before="20" w:after="20" w:line="240" w:lineRule="auto"/>
              <w:ind w:firstLine="0"/>
              <w:jc w:val="center"/>
            </w:pPr>
            <w:r>
              <w:rPr>
                <w:sz w:val="20"/>
              </w:rPr>
              <w:t>124 / 124</w:t>
            </w:r>
          </w:p>
        </w:tc>
        <w:tc>
          <w:tcPr>
            <w:tcW w:type="dxa" w:w="1157"/>
            <w:vAlign w:val="center"/>
          </w:tcPr>
          <w:p>
            <w:pPr>
              <w:spacing w:before="20" w:after="20" w:line="240" w:lineRule="auto"/>
              <w:ind w:firstLine="0"/>
              <w:jc w:val="center"/>
            </w:pPr>
            <w:r>
              <w:rPr>
                <w:sz w:val="20"/>
              </w:rPr>
              <w:t>0,45 / 0,45</w:t>
            </w:r>
          </w:p>
        </w:tc>
        <w:tc>
          <w:tcPr>
            <w:tcW w:type="dxa" w:w="1218"/>
            <w:vAlign w:val="center"/>
          </w:tcPr>
          <w:p>
            <w:pPr>
              <w:spacing w:before="20" w:after="20" w:line="240" w:lineRule="auto"/>
              <w:ind w:firstLine="0"/>
              <w:jc w:val="center"/>
            </w:pPr>
            <w:r>
              <w:rPr>
                <w:sz w:val="20"/>
              </w:rPr>
              <w:t>12,5 / 12,5</w:t>
            </w:r>
          </w:p>
        </w:tc>
        <w:tc>
          <w:tcPr>
            <w:tcW w:type="dxa" w:w="913"/>
            <w:vAlign w:val="center"/>
          </w:tcPr>
          <w:p>
            <w:pPr>
              <w:spacing w:before="20" w:after="20" w:line="240" w:lineRule="auto"/>
              <w:ind w:firstLine="0"/>
              <w:jc w:val="center"/>
            </w:pPr>
            <w:r>
              <w:rPr>
                <w:sz w:val="20"/>
              </w:rPr>
              <w:t>0,5</w:t>
            </w:r>
          </w:p>
        </w:tc>
        <w:tc>
          <w:tcPr>
            <w:tcW w:type="dxa" w:w="1400"/>
            <w:vAlign w:val="center"/>
          </w:tcPr>
          <w:p>
            <w:pPr>
              <w:spacing w:before="20" w:after="20" w:line="240" w:lineRule="auto"/>
              <w:ind w:firstLine="0"/>
              <w:jc w:val="center"/>
            </w:pPr>
            <w:r>
              <w:rPr>
                <w:sz w:val="20"/>
              </w:rPr>
              <w:t>0,233 / 0,218</w:t>
            </w:r>
          </w:p>
        </w:tc>
        <w:tc>
          <w:tcPr>
            <w:tcW w:type="dxa" w:w="913"/>
            <w:vAlign w:val="center"/>
          </w:tcPr>
          <w:p>
            <w:pPr>
              <w:spacing w:before="20" w:after="20" w:line="240" w:lineRule="auto"/>
              <w:ind w:firstLine="0"/>
              <w:jc w:val="center"/>
            </w:pPr>
            <w:r>
              <w:rPr>
                <w:sz w:val="20"/>
              </w:rPr>
              <w:t>Loại (3)</w:t>
            </w:r>
          </w:p>
        </w:tc>
      </w:tr>
      <w:tr>
        <w:tc>
          <w:tcPr>
            <w:tcW w:type="dxa" w:w="2374"/>
            <w:vAlign w:val="center"/>
          </w:tcPr>
          <w:p>
            <w:pPr>
              <w:spacing w:before="20" w:after="20" w:line="240" w:lineRule="auto"/>
              <w:ind w:firstLine="0"/>
              <w:jc w:val="left"/>
            </w:pPr>
            <w:r>
              <w:rPr>
                <w:b/>
                <w:sz w:val="20"/>
              </w:rPr>
              <w:t>Luân phiên, khe 5 ms</w:t>
            </w:r>
          </w:p>
        </w:tc>
        <w:tc>
          <w:tcPr>
            <w:tcW w:type="dxa" w:w="1096"/>
            <w:vAlign w:val="center"/>
          </w:tcPr>
          <w:p>
            <w:pPr>
              <w:spacing w:before="20" w:after="20" w:line="240" w:lineRule="auto"/>
              <w:ind w:firstLine="0"/>
              <w:jc w:val="center"/>
            </w:pPr>
            <w:r>
              <w:rPr>
                <w:b/>
                <w:sz w:val="20"/>
              </w:rPr>
              <w:t>100 / 100</w:t>
            </w:r>
          </w:p>
        </w:tc>
        <w:tc>
          <w:tcPr>
            <w:tcW w:type="dxa" w:w="1157"/>
            <w:vAlign w:val="center"/>
          </w:tcPr>
          <w:p>
            <w:pPr>
              <w:spacing w:before="20" w:after="20" w:line="240" w:lineRule="auto"/>
              <w:ind w:firstLine="0"/>
              <w:jc w:val="center"/>
            </w:pPr>
            <w:r>
              <w:rPr>
                <w:b/>
                <w:sz w:val="20"/>
              </w:rPr>
              <w:t>0,27 / 0,27</w:t>
            </w:r>
          </w:p>
        </w:tc>
        <w:tc>
          <w:tcPr>
            <w:tcW w:type="dxa" w:w="1218"/>
            <w:vAlign w:val="center"/>
          </w:tcPr>
          <w:p>
            <w:pPr>
              <w:spacing w:before="20" w:after="20" w:line="240" w:lineRule="auto"/>
              <w:ind w:firstLine="0"/>
              <w:jc w:val="center"/>
            </w:pPr>
            <w:r>
              <w:rPr>
                <w:b/>
                <w:sz w:val="20"/>
              </w:rPr>
              <w:t>12,5 / 12,5</w:t>
            </w:r>
          </w:p>
        </w:tc>
        <w:tc>
          <w:tcPr>
            <w:tcW w:type="dxa" w:w="913"/>
            <w:vAlign w:val="center"/>
          </w:tcPr>
          <w:p>
            <w:pPr>
              <w:spacing w:before="20" w:after="20" w:line="240" w:lineRule="auto"/>
              <w:ind w:firstLine="0"/>
              <w:jc w:val="center"/>
            </w:pPr>
            <w:r>
              <w:rPr>
                <w:b/>
                <w:sz w:val="20"/>
              </w:rPr>
              <w:t>1,5</w:t>
            </w:r>
          </w:p>
        </w:tc>
        <w:tc>
          <w:tcPr>
            <w:tcW w:type="dxa" w:w="1400"/>
            <w:vAlign w:val="center"/>
          </w:tcPr>
          <w:p>
            <w:pPr>
              <w:spacing w:before="20" w:after="20" w:line="240" w:lineRule="auto"/>
              <w:ind w:firstLine="0"/>
              <w:jc w:val="center"/>
            </w:pPr>
            <w:r>
              <w:rPr>
                <w:b/>
                <w:sz w:val="20"/>
              </w:rPr>
              <w:t>0,248 / 0,238</w:t>
            </w:r>
          </w:p>
        </w:tc>
        <w:tc>
          <w:tcPr>
            <w:tcW w:type="dxa" w:w="913"/>
            <w:vAlign w:val="center"/>
          </w:tcPr>
          <w:p>
            <w:pPr>
              <w:spacing w:before="20" w:after="20" w:line="240" w:lineRule="auto"/>
              <w:ind w:firstLine="0"/>
              <w:jc w:val="center"/>
            </w:pPr>
            <w:r>
              <w:rPr>
                <w:b/>
                <w:sz w:val="20"/>
              </w:rPr>
              <w:t>Chọn</w:t>
            </w:r>
          </w:p>
        </w:tc>
      </w:tr>
      <w:tr>
        <w:tc>
          <w:tcPr>
            <w:tcW w:type="dxa" w:w="2374"/>
            <w:vAlign w:val="center"/>
          </w:tcPr>
          <w:p>
            <w:pPr>
              <w:spacing w:before="20" w:after="20" w:line="240" w:lineRule="auto"/>
              <w:ind w:firstLine="0"/>
              <w:jc w:val="left"/>
            </w:pPr>
            <w:r>
              <w:rPr>
                <w:sz w:val="20"/>
              </w:rPr>
              <w:t>Luân phiên, khe 6 ms</w:t>
            </w:r>
          </w:p>
        </w:tc>
        <w:tc>
          <w:tcPr>
            <w:tcW w:type="dxa" w:w="1096"/>
            <w:vAlign w:val="center"/>
          </w:tcPr>
          <w:p>
            <w:pPr>
              <w:spacing w:before="20" w:after="20" w:line="240" w:lineRule="auto"/>
              <w:ind w:firstLine="0"/>
              <w:jc w:val="center"/>
            </w:pPr>
            <w:r>
              <w:rPr>
                <w:sz w:val="20"/>
              </w:rPr>
              <w:t>83 / 83</w:t>
            </w:r>
          </w:p>
        </w:tc>
        <w:tc>
          <w:tcPr>
            <w:tcW w:type="dxa" w:w="1157"/>
            <w:vAlign w:val="center"/>
          </w:tcPr>
          <w:p>
            <w:pPr>
              <w:spacing w:before="20" w:after="20" w:line="240" w:lineRule="auto"/>
              <w:ind w:firstLine="0"/>
              <w:jc w:val="center"/>
            </w:pPr>
            <w:r>
              <w:rPr>
                <w:sz w:val="20"/>
              </w:rPr>
              <w:t>0,12 / 0,12</w:t>
            </w:r>
          </w:p>
        </w:tc>
        <w:tc>
          <w:tcPr>
            <w:tcW w:type="dxa" w:w="1218"/>
            <w:vAlign w:val="center"/>
          </w:tcPr>
          <w:p>
            <w:pPr>
              <w:spacing w:before="20" w:after="20" w:line="240" w:lineRule="auto"/>
              <w:ind w:firstLine="0"/>
              <w:jc w:val="center"/>
            </w:pPr>
            <w:r>
              <w:rPr>
                <w:sz w:val="20"/>
              </w:rPr>
              <w:t>13,5 / 13,5</w:t>
            </w:r>
          </w:p>
        </w:tc>
        <w:tc>
          <w:tcPr>
            <w:tcW w:type="dxa" w:w="913"/>
            <w:vAlign w:val="center"/>
          </w:tcPr>
          <w:p>
            <w:pPr>
              <w:spacing w:before="20" w:after="20" w:line="240" w:lineRule="auto"/>
              <w:ind w:firstLine="0"/>
              <w:jc w:val="center"/>
            </w:pPr>
            <w:r>
              <w:rPr>
                <w:sz w:val="20"/>
              </w:rPr>
              <w:t>2,5</w:t>
            </w:r>
          </w:p>
        </w:tc>
        <w:tc>
          <w:tcPr>
            <w:tcW w:type="dxa" w:w="1400"/>
            <w:vAlign w:val="center"/>
          </w:tcPr>
          <w:p>
            <w:pPr>
              <w:spacing w:before="20" w:after="20" w:line="240" w:lineRule="auto"/>
              <w:ind w:firstLine="0"/>
              <w:jc w:val="center"/>
            </w:pPr>
            <w:r>
              <w:rPr>
                <w:sz w:val="20"/>
              </w:rPr>
              <w:t>0,270 / 0,273</w:t>
            </w:r>
          </w:p>
        </w:tc>
        <w:tc>
          <w:tcPr>
            <w:tcW w:type="dxa" w:w="913"/>
            <w:vAlign w:val="center"/>
          </w:tcPr>
          <w:p>
            <w:pPr>
              <w:spacing w:before="20" w:after="20" w:line="240" w:lineRule="auto"/>
              <w:ind w:firstLine="0"/>
              <w:jc w:val="center"/>
            </w:pPr>
            <w:r>
              <w:rPr>
                <w:sz w:val="20"/>
              </w:rPr>
              <w:t>Loại (2)</w:t>
            </w:r>
          </w:p>
        </w:tc>
      </w:tr>
    </w:tbl>
    <w:p>
      <w:pPr>
        <w:spacing w:before="40"/>
        <w:ind w:firstLine="0"/>
      </w:pPr>
      <w:r>
        <w:rPr>
          <w:i/>
          <w:sz w:val="22"/>
        </w:rPr>
        <w:t>Ghi chú: mô phỏng khảo sát; (1), (2), (3) là các tiêu chí nêu trên.</w:t>
      </w:r>
    </w:p>
    <w:p>
      <w:pPr>
        <w:ind w:firstLine="567"/>
        <w:jc w:val="both"/>
      </w:pPr>
      <w:r>
        <w:t xml:space="preserve">Khe dài thì đều hơn nhưng chậm hơn: khe 6 ms có </w:t>
      </w:r>
      <w:r>
        <w:rPr>
          <w:i/>
        </w:rPr>
        <w:t>σ</w:t>
      </w:r>
      <w:r>
        <w:rPr>
          <w:vertAlign w:val="subscript"/>
        </w:rPr>
        <w:t>Δ</w:t>
      </w:r>
      <w:r>
        <w:t xml:space="preserve"> = 0,12 ms nhưng mỗi trục chỉ 83 Hz, </w:t>
      </w:r>
      <w:r>
        <w:rPr>
          <w:i/>
        </w:rPr>
        <w:t>e</w:t>
      </w:r>
      <w:r>
        <w:rPr>
          <w:vertAlign w:val="subscript"/>
        </w:rPr>
        <w:t>rms</w:t>
      </w:r>
      <w:r>
        <w:t xml:space="preserve"> tăng lên 0,270 / 0,273°. Khe 4 ms cho </w:t>
      </w:r>
      <w:r>
        <w:rPr>
          <w:i/>
        </w:rPr>
        <w:t>e</w:t>
      </w:r>
      <w:r>
        <w:rPr>
          <w:vertAlign w:val="subscript"/>
        </w:rPr>
        <w:t>rms</w:t>
      </w:r>
      <w:r>
        <w:t xml:space="preserve"> thấp nhất trong mô hình (0,233 / 0,218°) nhưng bị giới hạn bởi ngân sách thời gian: cửa sổ giao dịch lớn nhất gồm phát khung lệnh 0,43 ms và chờ phản hồi tối đa 3 ms, tức 3,5 ms (mục 2.4.2), nên khe 4 ms chỉ còn 0,5 ms dự trữ, khe 5 ms còn 1,5 ms (Hình 3.20d); mô hình chưa có trễ luồng nên ưu thế của khe 4 ms là cận lạc quan. Lịch luân phiên khe 5 ms là phương án duy nhất thỏa cả ba tiêu chí nên được chọn. Với </w:t>
      </w:r>
      <w:r>
        <w:rPr>
          <w:i/>
        </w:rPr>
        <w:t>τ</w:t>
      </w:r>
      <w:r>
        <w:rPr>
          <w:vertAlign w:val="subscript"/>
        </w:rPr>
        <w:t>p</w:t>
      </w:r>
      <w:r>
        <w:t xml:space="preserve"> = 8 và 16 ms, thứ tự giữa hai lịch không đổi; giới hạn trên của </w:t>
      </w:r>
      <w:r>
        <w:rPr>
          <w:i/>
        </w:rPr>
        <w:t>τ</w:t>
      </w:r>
      <w:r>
        <w:rPr>
          <w:vertAlign w:val="subscript"/>
        </w:rPr>
        <w:t>p</w:t>
      </w:r>
      <w:r>
        <w:t xml:space="preserve"> vẫn là năng lượng lệnh trên 20 Hz (mục 3.2.3), nên giữ </w:t>
      </w:r>
      <w:r>
        <w:rPr>
          <w:i/>
        </w:rPr>
        <w:t>τ</w:t>
      </w:r>
      <w:r>
        <w:rPr>
          <w:vertAlign w:val="subscript"/>
        </w:rPr>
        <w:t>p</w:t>
      </w:r>
      <w:r>
        <w:t xml:space="preserve"> = 12 ms.</w:t>
      </w:r>
    </w:p>
    <w:p>
      <w:pPr>
        <w:ind w:firstLine="567"/>
        <w:jc w:val="both"/>
      </w:pPr>
      <w:r>
        <w:rPr>
          <w:b/>
          <w:i/>
        </w:rPr>
        <w:t xml:space="preserve">c) Áp dụng và đánh giá. </w:t>
      </w:r>
      <w:r>
        <w:t xml:space="preserve">Lịch luân phiên khe 5 ms được áp dụng cho cấu hình có tạo dạng lệnh (Hình 3.21, Bảng 3.13). Trên mô phỏng tái hiện, </w:t>
      </w:r>
      <w:r>
        <w:rPr>
          <w:i/>
        </w:rPr>
        <w:t>e</w:t>
      </w:r>
      <w:r>
        <w:rPr>
          <w:vertAlign w:val="subscript"/>
        </w:rPr>
        <w:t>rms</w:t>
      </w:r>
      <w:r>
        <w:t xml:space="preserve"> Pitch giảm 9,5 %, </w:t>
      </w:r>
      <w:r>
        <w:rPr>
          <w:i/>
        </w:rPr>
        <w:t>e</w:t>
      </w:r>
      <w:r>
        <w:rPr>
          <w:vertAlign w:val="subscript"/>
        </w:rPr>
        <w:t>rms</w:t>
      </w:r>
      <w:r>
        <w:t xml:space="preserve"> Yaw tăng 19,5 % như khảo sát dự báo; hai trục cân bằng (0,182° / 0,192°), số đo log A là 0,199° / 0,201°. Bộ đếm bus trong log A ghi mỗi trục 7 676 giao dịch trong 76,3 s (100,6 Hz), hai trục chênh nhau không quá 1 giao dịch, không có giao dịch lỗi; </w:t>
      </w:r>
      <w:r>
        <w:rPr>
          <w:i/>
        </w:rPr>
        <w:t>Δ</w:t>
      </w:r>
      <w:r>
        <w:t xml:space="preserve"> lớn nhất 16 / 14 ms (độ phân giải 1 ms), bằng khoảng một nửa so với Pitch dùng lịch ưu tiên Yaw.</w:t>
      </w:r>
    </w:p>
    <w:p>
      <w:pPr>
        <w:keepNext/>
        <w:spacing w:before="100" w:after="60"/>
        <w:ind w:firstLine="0"/>
        <w:jc w:val="center"/>
      </w:pPr>
      <w:r>
        <w:drawing>
          <wp:inline xmlns:a="http://schemas.openxmlformats.org/drawingml/2006/main" xmlns:pic="http://schemas.openxmlformats.org/drawingml/2006/picture">
            <wp:extent cx="5626608" cy="3593592"/>
            <wp:docPr id="3" name="Picture 3"/>
            <wp:cNvGraphicFramePr>
              <a:graphicFrameLocks noChangeAspect="1"/>
            </wp:cNvGraphicFramePr>
            <a:graphic>
              <a:graphicData uri="http://schemas.openxmlformats.org/drawingml/2006/picture">
                <pic:pic>
                  <pic:nvPicPr>
                    <pic:cNvPr id="0" name="h3_21_rs485_truoc_sau_mp.png"/>
                    <pic:cNvPicPr/>
                  </pic:nvPicPr>
                  <pic:blipFill>
                    <a:blip r:embed="rId67"/>
                    <a:stretch>
                      <a:fillRect/>
                    </a:stretch>
                  </pic:blipFill>
                  <pic:spPr>
                    <a:xfrm>
                      <a:off x="0" y="0"/>
                      <a:ext cx="5626608" cy="3593592"/>
                    </a:xfrm>
                    <a:prstGeom prst="rect"/>
                  </pic:spPr>
                </pic:pic>
              </a:graphicData>
            </a:graphic>
          </wp:inline>
        </w:drawing>
      </w:r>
    </w:p>
    <w:p>
      <w:pPr>
        <w:pStyle w:val="FigCap"/>
      </w:pPr>
      <w:bookmarkStart w:id="905" w:name="_TocN905"/>
      <w:bookmarkEnd w:id="905"/>
      <w:r>
        <w:t>Hình 3.21. Trước và sau hoàn thiện lịch truyền RS485 (mô phỏng tái hiện)</w:t>
      </w:r>
    </w:p>
    <w:p>
      <w:pPr>
        <w:pStyle w:val="TblCap"/>
        <w:keepNext/>
      </w:pPr>
      <w:bookmarkStart w:id="906" w:name="_TocN906"/>
      <w:bookmarkEnd w:id="906"/>
      <w:r>
        <w:t>Bảng 3.13. Chỉ tiêu trước và sau hoàn thiện lịch truyền RS485</w:t>
      </w:r>
    </w:p>
    <w:tbl>
      <w:tblPr>
        <w:tblStyle w:val="TableGrid1"/>
        <w:tblW w:type="dxa" w:w="9072"/>
        <w:jc w:val="center"/>
        <w:tblLayout w:type="fixed"/>
        <w:tblLook w:firstColumn="1" w:firstRow="1" w:lastColumn="0" w:lastRow="0" w:noHBand="0" w:noVBand="1" w:val="04A0"/>
      </w:tblPr>
      <w:tblGrid>
        <w:gridCol w:w="2474"/>
        <w:gridCol w:w="761"/>
        <w:gridCol w:w="761"/>
        <w:gridCol w:w="1015"/>
        <w:gridCol w:w="761"/>
        <w:gridCol w:w="761"/>
        <w:gridCol w:w="761"/>
        <w:gridCol w:w="1015"/>
        <w:gridCol w:w="761"/>
      </w:tblGrid>
      <w:tr>
        <w:trPr>
          <w:tblHeader/>
        </w:trPr>
        <w:tc>
          <w:tcPr>
            <w:tcW w:type="dxa" w:w="2474"/>
            <w:vAlign w:val="center"/>
          </w:tcPr>
          <w:p>
            <w:pPr>
              <w:keepNext/>
              <w:spacing w:before="20" w:after="20" w:line="240" w:lineRule="auto"/>
              <w:ind w:firstLine="0"/>
              <w:jc w:val="left"/>
            </w:pPr>
            <w:r>
              <w:rPr>
                <w:b/>
                <w:sz w:val="20"/>
              </w:rPr>
              <w:t>Chỉ tiêu</w:t>
            </w:r>
          </w:p>
        </w:tc>
        <w:tc>
          <w:tcPr>
            <w:tcW w:type="dxa" w:w="761"/>
            <w:vAlign w:val="center"/>
          </w:tcPr>
          <w:p>
            <w:pPr>
              <w:keepNext/>
              <w:spacing w:before="20" w:after="20" w:line="240" w:lineRule="auto"/>
              <w:ind w:firstLine="0"/>
              <w:jc w:val="center"/>
            </w:pPr>
            <w:r>
              <w:rPr>
                <w:b/>
                <w:sz w:val="20"/>
              </w:rPr>
              <w:t>Yaw: trước</w:t>
            </w:r>
          </w:p>
        </w:tc>
        <w:tc>
          <w:tcPr>
            <w:tcW w:type="dxa" w:w="761"/>
            <w:vAlign w:val="center"/>
          </w:tcPr>
          <w:p>
            <w:pPr>
              <w:keepNext/>
              <w:spacing w:before="20" w:after="20" w:line="240" w:lineRule="auto"/>
              <w:ind w:firstLine="0"/>
              <w:jc w:val="center"/>
            </w:pPr>
            <w:r>
              <w:rPr>
                <w:b/>
                <w:sz w:val="20"/>
              </w:rPr>
              <w:t>Yaw: sau</w:t>
            </w:r>
          </w:p>
        </w:tc>
        <w:tc>
          <w:tcPr>
            <w:tcW w:type="dxa" w:w="1015"/>
            <w:vAlign w:val="center"/>
          </w:tcPr>
          <w:p>
            <w:pPr>
              <w:keepNext/>
              <w:spacing w:before="20" w:after="20" w:line="240" w:lineRule="auto"/>
              <w:ind w:firstLine="0"/>
              <w:jc w:val="center"/>
            </w:pPr>
            <w:r>
              <w:rPr>
                <w:b/>
                <w:sz w:val="20"/>
              </w:rPr>
              <w:t>Thay đổi</w:t>
            </w:r>
          </w:p>
        </w:tc>
        <w:tc>
          <w:tcPr>
            <w:tcW w:type="dxa" w:w="761"/>
            <w:vAlign w:val="center"/>
          </w:tcPr>
          <w:p>
            <w:pPr>
              <w:keepNext/>
              <w:spacing w:before="20" w:after="20" w:line="240" w:lineRule="auto"/>
              <w:ind w:firstLine="0"/>
              <w:jc w:val="center"/>
            </w:pPr>
            <w:r>
              <w:rPr>
                <w:b/>
                <w:sz w:val="20"/>
              </w:rPr>
              <w:t>Yaw: đo</w:t>
            </w:r>
          </w:p>
        </w:tc>
        <w:tc>
          <w:tcPr>
            <w:tcW w:type="dxa" w:w="761"/>
            <w:vAlign w:val="center"/>
          </w:tcPr>
          <w:p>
            <w:pPr>
              <w:keepNext/>
              <w:spacing w:before="20" w:after="20" w:line="240" w:lineRule="auto"/>
              <w:ind w:firstLine="0"/>
              <w:jc w:val="center"/>
            </w:pPr>
            <w:r>
              <w:rPr>
                <w:b/>
                <w:sz w:val="20"/>
              </w:rPr>
              <w:t>Pitch: trước</w:t>
            </w:r>
          </w:p>
        </w:tc>
        <w:tc>
          <w:tcPr>
            <w:tcW w:type="dxa" w:w="761"/>
            <w:vAlign w:val="center"/>
          </w:tcPr>
          <w:p>
            <w:pPr>
              <w:keepNext/>
              <w:spacing w:before="20" w:after="20" w:line="240" w:lineRule="auto"/>
              <w:ind w:firstLine="0"/>
              <w:jc w:val="center"/>
            </w:pPr>
            <w:r>
              <w:rPr>
                <w:b/>
                <w:sz w:val="20"/>
              </w:rPr>
              <w:t>Pitch: sau</w:t>
            </w:r>
          </w:p>
        </w:tc>
        <w:tc>
          <w:tcPr>
            <w:tcW w:type="dxa" w:w="1015"/>
            <w:vAlign w:val="center"/>
          </w:tcPr>
          <w:p>
            <w:pPr>
              <w:keepNext/>
              <w:spacing w:before="20" w:after="20" w:line="240" w:lineRule="auto"/>
              <w:ind w:firstLine="0"/>
              <w:jc w:val="center"/>
            </w:pPr>
            <w:r>
              <w:rPr>
                <w:b/>
                <w:sz w:val="20"/>
              </w:rPr>
              <w:t>Thay đổi</w:t>
            </w:r>
          </w:p>
        </w:tc>
        <w:tc>
          <w:tcPr>
            <w:tcW w:type="dxa" w:w="761"/>
            <w:vAlign w:val="center"/>
          </w:tcPr>
          <w:p>
            <w:pPr>
              <w:keepNext/>
              <w:spacing w:before="20" w:after="20" w:line="240" w:lineRule="auto"/>
              <w:ind w:firstLine="0"/>
              <w:jc w:val="center"/>
            </w:pPr>
            <w:r>
              <w:rPr>
                <w:b/>
                <w:sz w:val="20"/>
              </w:rPr>
              <w:t>Pitch: đo</w:t>
            </w:r>
          </w:p>
        </w:tc>
      </w:tr>
      <w:tr>
        <w:tc>
          <w:tcPr>
            <w:tcW w:type="dxa" w:w="2474"/>
            <w:vAlign w:val="center"/>
          </w:tcPr>
          <w:p>
            <w:pPr>
              <w:spacing w:before="20" w:after="20" w:line="240" w:lineRule="auto"/>
              <w:ind w:firstLine="0"/>
              <w:jc w:val="left"/>
            </w:pPr>
            <w:r>
              <w:rPr>
                <w:sz w:val="20"/>
              </w:rPr>
              <w:t>Tần số cập nhật (Hz)</w:t>
            </w:r>
          </w:p>
        </w:tc>
        <w:tc>
          <w:tcPr>
            <w:tcW w:type="dxa" w:w="761"/>
            <w:vAlign w:val="center"/>
          </w:tcPr>
          <w:p>
            <w:pPr>
              <w:spacing w:before="20" w:after="20" w:line="240" w:lineRule="auto"/>
              <w:ind w:firstLine="0"/>
              <w:jc w:val="center"/>
            </w:pPr>
            <w:r>
              <w:rPr>
                <w:sz w:val="20"/>
              </w:rPr>
              <w:t>197,4</w:t>
            </w:r>
          </w:p>
        </w:tc>
        <w:tc>
          <w:tcPr>
            <w:tcW w:type="dxa" w:w="761"/>
            <w:vAlign w:val="center"/>
          </w:tcPr>
          <w:p>
            <w:pPr>
              <w:spacing w:before="20" w:after="20" w:line="240" w:lineRule="auto"/>
              <w:ind w:firstLine="0"/>
              <w:jc w:val="center"/>
            </w:pPr>
            <w:r>
              <w:rPr>
                <w:sz w:val="20"/>
              </w:rPr>
              <w:t>99,6</w:t>
            </w:r>
          </w:p>
        </w:tc>
        <w:tc>
          <w:tcPr>
            <w:tcW w:type="dxa" w:w="1015"/>
            <w:vAlign w:val="center"/>
          </w:tcPr>
          <w:p>
            <w:pPr>
              <w:spacing w:before="20" w:after="20" w:line="240" w:lineRule="auto"/>
              <w:ind w:firstLine="0"/>
              <w:jc w:val="center"/>
            </w:pPr>
            <w:r>
              <w:rPr>
                <w:sz w:val="20"/>
              </w:rPr>
              <w:t>−49,5 %</w:t>
            </w:r>
          </w:p>
        </w:tc>
        <w:tc>
          <w:tcPr>
            <w:tcW w:type="dxa" w:w="761"/>
            <w:vAlign w:val="center"/>
          </w:tcPr>
          <w:p>
            <w:pPr>
              <w:spacing w:before="20" w:after="20" w:line="240" w:lineRule="auto"/>
              <w:ind w:firstLine="0"/>
              <w:jc w:val="center"/>
            </w:pPr>
            <w:r>
              <w:rPr>
                <w:sz w:val="20"/>
              </w:rPr>
              <w:t>100,6</w:t>
            </w:r>
          </w:p>
        </w:tc>
        <w:tc>
          <w:tcPr>
            <w:tcW w:type="dxa" w:w="761"/>
            <w:vAlign w:val="center"/>
          </w:tcPr>
          <w:p>
            <w:pPr>
              <w:spacing w:before="20" w:after="20" w:line="240" w:lineRule="auto"/>
              <w:ind w:firstLine="0"/>
              <w:jc w:val="center"/>
            </w:pPr>
            <w:r>
              <w:rPr>
                <w:sz w:val="20"/>
              </w:rPr>
              <w:t>91,6</w:t>
            </w:r>
          </w:p>
        </w:tc>
        <w:tc>
          <w:tcPr>
            <w:tcW w:type="dxa" w:w="761"/>
            <w:vAlign w:val="center"/>
          </w:tcPr>
          <w:p>
            <w:pPr>
              <w:spacing w:before="20" w:after="20" w:line="240" w:lineRule="auto"/>
              <w:ind w:firstLine="0"/>
              <w:jc w:val="center"/>
            </w:pPr>
            <w:r>
              <w:rPr>
                <w:sz w:val="20"/>
              </w:rPr>
              <w:t>99,6</w:t>
            </w:r>
          </w:p>
        </w:tc>
        <w:tc>
          <w:tcPr>
            <w:tcW w:type="dxa" w:w="1015"/>
            <w:vAlign w:val="center"/>
          </w:tcPr>
          <w:p>
            <w:pPr>
              <w:spacing w:before="20" w:after="20" w:line="240" w:lineRule="auto"/>
              <w:ind w:firstLine="0"/>
              <w:jc w:val="center"/>
            </w:pPr>
            <w:r>
              <w:rPr>
                <w:sz w:val="20"/>
              </w:rPr>
              <w:t>+8,7 %</w:t>
            </w:r>
          </w:p>
        </w:tc>
        <w:tc>
          <w:tcPr>
            <w:tcW w:type="dxa" w:w="761"/>
            <w:vAlign w:val="center"/>
          </w:tcPr>
          <w:p>
            <w:pPr>
              <w:spacing w:before="20" w:after="20" w:line="240" w:lineRule="auto"/>
              <w:ind w:firstLine="0"/>
              <w:jc w:val="center"/>
            </w:pPr>
            <w:r>
              <w:rPr>
                <w:sz w:val="20"/>
              </w:rPr>
              <w:t>100,6</w:t>
            </w:r>
          </w:p>
        </w:tc>
      </w:tr>
      <w:tr>
        <w:tc>
          <w:tcPr>
            <w:tcW w:type="dxa" w:w="2474"/>
            <w:vAlign w:val="center"/>
          </w:tcPr>
          <w:p>
            <w:pPr>
              <w:spacing w:before="20" w:after="20" w:line="240" w:lineRule="auto"/>
              <w:ind w:firstLine="0"/>
              <w:jc w:val="left"/>
            </w:pPr>
            <w:r>
              <w:rPr>
                <w:i/>
                <w:sz w:val="20"/>
              </w:rPr>
              <w:t>Δ</w:t>
            </w:r>
            <w:r>
              <w:rPr>
                <w:sz w:val="20"/>
              </w:rPr>
              <w:t xml:space="preserve"> lớn nhất (ms)</w:t>
            </w:r>
          </w:p>
        </w:tc>
        <w:tc>
          <w:tcPr>
            <w:tcW w:type="dxa" w:w="761"/>
            <w:vAlign w:val="center"/>
          </w:tcPr>
          <w:p>
            <w:pPr>
              <w:spacing w:before="20" w:after="20" w:line="240" w:lineRule="auto"/>
              <w:ind w:firstLine="0"/>
              <w:jc w:val="center"/>
            </w:pPr>
            <w:r>
              <w:rPr>
                <w:sz w:val="20"/>
              </w:rPr>
              <w:t>9,7</w:t>
            </w:r>
          </w:p>
        </w:tc>
        <w:tc>
          <w:tcPr>
            <w:tcW w:type="dxa" w:w="761"/>
            <w:vAlign w:val="center"/>
          </w:tcPr>
          <w:p>
            <w:pPr>
              <w:spacing w:before="20" w:after="20" w:line="240" w:lineRule="auto"/>
              <w:ind w:firstLine="0"/>
              <w:jc w:val="center"/>
            </w:pPr>
            <w:r>
              <w:rPr>
                <w:sz w:val="20"/>
              </w:rPr>
              <w:t>12,5</w:t>
            </w:r>
          </w:p>
        </w:tc>
        <w:tc>
          <w:tcPr>
            <w:tcW w:type="dxa" w:w="1015"/>
            <w:vAlign w:val="center"/>
          </w:tcPr>
          <w:p>
            <w:pPr>
              <w:spacing w:before="20" w:after="20" w:line="240" w:lineRule="auto"/>
              <w:ind w:firstLine="0"/>
              <w:jc w:val="center"/>
            </w:pPr>
            <w:r>
              <w:rPr>
                <w:sz w:val="20"/>
              </w:rPr>
              <w:t>+28,5 %</w:t>
            </w:r>
          </w:p>
        </w:tc>
        <w:tc>
          <w:tcPr>
            <w:tcW w:type="dxa" w:w="761"/>
            <w:vAlign w:val="center"/>
          </w:tcPr>
          <w:p>
            <w:pPr>
              <w:spacing w:before="20" w:after="20" w:line="240" w:lineRule="auto"/>
              <w:ind w:firstLine="0"/>
              <w:jc w:val="center"/>
            </w:pPr>
            <w:r>
              <w:rPr>
                <w:sz w:val="20"/>
              </w:rPr>
              <w:t>16,0</w:t>
            </w:r>
          </w:p>
        </w:tc>
        <w:tc>
          <w:tcPr>
            <w:tcW w:type="dxa" w:w="761"/>
            <w:vAlign w:val="center"/>
          </w:tcPr>
          <w:p>
            <w:pPr>
              <w:spacing w:before="20" w:after="20" w:line="240" w:lineRule="auto"/>
              <w:ind w:firstLine="0"/>
              <w:jc w:val="center"/>
            </w:pPr>
            <w:r>
              <w:rPr>
                <w:sz w:val="20"/>
              </w:rPr>
              <w:t>32,3</w:t>
            </w:r>
          </w:p>
        </w:tc>
        <w:tc>
          <w:tcPr>
            <w:tcW w:type="dxa" w:w="761"/>
            <w:vAlign w:val="center"/>
          </w:tcPr>
          <w:p>
            <w:pPr>
              <w:spacing w:before="20" w:after="20" w:line="240" w:lineRule="auto"/>
              <w:ind w:firstLine="0"/>
              <w:jc w:val="center"/>
            </w:pPr>
            <w:r>
              <w:rPr>
                <w:sz w:val="20"/>
              </w:rPr>
              <w:t>12,5</w:t>
            </w:r>
          </w:p>
        </w:tc>
        <w:tc>
          <w:tcPr>
            <w:tcW w:type="dxa" w:w="1015"/>
            <w:vAlign w:val="center"/>
          </w:tcPr>
          <w:p>
            <w:pPr>
              <w:spacing w:before="20" w:after="20" w:line="240" w:lineRule="auto"/>
              <w:ind w:firstLine="0"/>
              <w:jc w:val="center"/>
            </w:pPr>
            <w:r>
              <w:rPr>
                <w:sz w:val="20"/>
              </w:rPr>
              <w:t>−61,3 %</w:t>
            </w:r>
          </w:p>
        </w:tc>
        <w:tc>
          <w:tcPr>
            <w:tcW w:type="dxa" w:w="761"/>
            <w:vAlign w:val="center"/>
          </w:tcPr>
          <w:p>
            <w:pPr>
              <w:spacing w:before="20" w:after="20" w:line="240" w:lineRule="auto"/>
              <w:ind w:firstLine="0"/>
              <w:jc w:val="center"/>
            </w:pPr>
            <w:r>
              <w:rPr>
                <w:sz w:val="20"/>
              </w:rPr>
              <w:t>14,0</w:t>
            </w:r>
          </w:p>
        </w:tc>
      </w:tr>
      <w:tr>
        <w:tc>
          <w:tcPr>
            <w:tcW w:type="dxa" w:w="2474"/>
            <w:vAlign w:val="center"/>
          </w:tcPr>
          <w:p>
            <w:pPr>
              <w:spacing w:before="20" w:after="20" w:line="240" w:lineRule="auto"/>
              <w:ind w:firstLine="0"/>
              <w:jc w:val="left"/>
            </w:pPr>
            <w:r>
              <w:rPr>
                <w:i/>
                <w:sz w:val="20"/>
              </w:rPr>
              <w:t>e</w:t>
            </w:r>
            <w:r>
              <w:rPr>
                <w:sz w:val="20"/>
                <w:vertAlign w:val="subscript"/>
              </w:rPr>
              <w:t>rms</w:t>
            </w:r>
            <w:r>
              <w:rPr>
                <w:sz w:val="20"/>
              </w:rPr>
              <w:t xml:space="preserve"> (°)</w:t>
            </w:r>
          </w:p>
        </w:tc>
        <w:tc>
          <w:tcPr>
            <w:tcW w:type="dxa" w:w="761"/>
            <w:vAlign w:val="center"/>
          </w:tcPr>
          <w:p>
            <w:pPr>
              <w:spacing w:before="20" w:after="20" w:line="240" w:lineRule="auto"/>
              <w:ind w:firstLine="0"/>
              <w:jc w:val="center"/>
            </w:pPr>
            <w:r>
              <w:rPr>
                <w:sz w:val="20"/>
              </w:rPr>
              <w:t>0,152</w:t>
            </w:r>
          </w:p>
        </w:tc>
        <w:tc>
          <w:tcPr>
            <w:tcW w:type="dxa" w:w="761"/>
            <w:vAlign w:val="center"/>
          </w:tcPr>
          <w:p>
            <w:pPr>
              <w:spacing w:before="20" w:after="20" w:line="240" w:lineRule="auto"/>
              <w:ind w:firstLine="0"/>
              <w:jc w:val="center"/>
            </w:pPr>
            <w:r>
              <w:rPr>
                <w:sz w:val="20"/>
              </w:rPr>
              <w:t>0,182</w:t>
            </w:r>
          </w:p>
        </w:tc>
        <w:tc>
          <w:tcPr>
            <w:tcW w:type="dxa" w:w="1015"/>
            <w:vAlign w:val="center"/>
          </w:tcPr>
          <w:p>
            <w:pPr>
              <w:spacing w:before="20" w:after="20" w:line="240" w:lineRule="auto"/>
              <w:ind w:firstLine="0"/>
              <w:jc w:val="center"/>
            </w:pPr>
            <w:r>
              <w:rPr>
                <w:sz w:val="20"/>
              </w:rPr>
              <w:t>+19,5 %</w:t>
            </w:r>
          </w:p>
        </w:tc>
        <w:tc>
          <w:tcPr>
            <w:tcW w:type="dxa" w:w="761"/>
            <w:vAlign w:val="center"/>
          </w:tcPr>
          <w:p>
            <w:pPr>
              <w:spacing w:before="20" w:after="20" w:line="240" w:lineRule="auto"/>
              <w:ind w:firstLine="0"/>
              <w:jc w:val="center"/>
            </w:pPr>
            <w:r>
              <w:rPr>
                <w:sz w:val="20"/>
              </w:rPr>
              <w:t>0,199</w:t>
            </w:r>
          </w:p>
        </w:tc>
        <w:tc>
          <w:tcPr>
            <w:tcW w:type="dxa" w:w="761"/>
            <w:vAlign w:val="center"/>
          </w:tcPr>
          <w:p>
            <w:pPr>
              <w:spacing w:before="20" w:after="20" w:line="240" w:lineRule="auto"/>
              <w:ind w:firstLine="0"/>
              <w:jc w:val="center"/>
            </w:pPr>
            <w:r>
              <w:rPr>
                <w:sz w:val="20"/>
              </w:rPr>
              <w:t>0,212</w:t>
            </w:r>
          </w:p>
        </w:tc>
        <w:tc>
          <w:tcPr>
            <w:tcW w:type="dxa" w:w="761"/>
            <w:vAlign w:val="center"/>
          </w:tcPr>
          <w:p>
            <w:pPr>
              <w:spacing w:before="20" w:after="20" w:line="240" w:lineRule="auto"/>
              <w:ind w:firstLine="0"/>
              <w:jc w:val="center"/>
            </w:pPr>
            <w:r>
              <w:rPr>
                <w:sz w:val="20"/>
              </w:rPr>
              <w:t>0,192</w:t>
            </w:r>
          </w:p>
        </w:tc>
        <w:tc>
          <w:tcPr>
            <w:tcW w:type="dxa" w:w="1015"/>
            <w:vAlign w:val="center"/>
          </w:tcPr>
          <w:p>
            <w:pPr>
              <w:spacing w:before="20" w:after="20" w:line="240" w:lineRule="auto"/>
              <w:ind w:firstLine="0"/>
              <w:jc w:val="center"/>
            </w:pPr>
            <w:r>
              <w:rPr>
                <w:sz w:val="20"/>
              </w:rPr>
              <w:t>−9,5 %</w:t>
            </w:r>
          </w:p>
        </w:tc>
        <w:tc>
          <w:tcPr>
            <w:tcW w:type="dxa" w:w="761"/>
            <w:vAlign w:val="center"/>
          </w:tcPr>
          <w:p>
            <w:pPr>
              <w:spacing w:before="20" w:after="20" w:line="240" w:lineRule="auto"/>
              <w:ind w:firstLine="0"/>
              <w:jc w:val="center"/>
            </w:pPr>
            <w:r>
              <w:rPr>
                <w:sz w:val="20"/>
              </w:rPr>
              <w:t>0,201</w:t>
            </w:r>
          </w:p>
        </w:tc>
      </w:tr>
      <w:tr>
        <w:tc>
          <w:tcPr>
            <w:tcW w:type="dxa" w:w="2474"/>
            <w:vAlign w:val="center"/>
          </w:tcPr>
          <w:p>
            <w:pPr>
              <w:spacing w:before="20" w:after="20" w:line="240" w:lineRule="auto"/>
              <w:ind w:firstLine="0"/>
              <w:jc w:val="left"/>
            </w:pPr>
            <w:r>
              <w:rPr>
                <w:sz w:val="20"/>
              </w:rPr>
              <w:t>Phân vị 99 % của |</w:t>
            </w:r>
            <w:r>
              <w:rPr>
                <w:i/>
                <w:sz w:val="20"/>
              </w:rPr>
              <w:t>e</w:t>
            </w:r>
            <w:r>
              <w:rPr>
                <w:sz w:val="20"/>
              </w:rPr>
              <w:t>| (°)</w:t>
            </w:r>
          </w:p>
        </w:tc>
        <w:tc>
          <w:tcPr>
            <w:tcW w:type="dxa" w:w="761"/>
            <w:vAlign w:val="center"/>
          </w:tcPr>
          <w:p>
            <w:pPr>
              <w:spacing w:before="20" w:after="20" w:line="240" w:lineRule="auto"/>
              <w:ind w:firstLine="0"/>
              <w:jc w:val="center"/>
            </w:pPr>
            <w:r>
              <w:rPr>
                <w:sz w:val="20"/>
              </w:rPr>
              <w:t>0,368</w:t>
            </w:r>
          </w:p>
        </w:tc>
        <w:tc>
          <w:tcPr>
            <w:tcW w:type="dxa" w:w="761"/>
            <w:vAlign w:val="center"/>
          </w:tcPr>
          <w:p>
            <w:pPr>
              <w:spacing w:before="20" w:after="20" w:line="240" w:lineRule="auto"/>
              <w:ind w:firstLine="0"/>
              <w:jc w:val="center"/>
            </w:pPr>
            <w:r>
              <w:rPr>
                <w:sz w:val="20"/>
              </w:rPr>
              <w:t>0,432</w:t>
            </w:r>
          </w:p>
        </w:tc>
        <w:tc>
          <w:tcPr>
            <w:tcW w:type="dxa" w:w="1015"/>
            <w:vAlign w:val="center"/>
          </w:tcPr>
          <w:p>
            <w:pPr>
              <w:spacing w:before="20" w:after="20" w:line="240" w:lineRule="auto"/>
              <w:ind w:firstLine="0"/>
              <w:jc w:val="center"/>
            </w:pPr>
            <w:r>
              <w:rPr>
                <w:sz w:val="20"/>
              </w:rPr>
              <w:t>+17,1 %</w:t>
            </w:r>
          </w:p>
        </w:tc>
        <w:tc>
          <w:tcPr>
            <w:tcW w:type="dxa" w:w="761"/>
            <w:vAlign w:val="center"/>
          </w:tcPr>
          <w:p>
            <w:pPr>
              <w:spacing w:before="20" w:after="20" w:line="240" w:lineRule="auto"/>
              <w:ind w:firstLine="0"/>
              <w:jc w:val="center"/>
            </w:pPr>
            <w:r>
              <w:rPr>
                <w:sz w:val="20"/>
              </w:rPr>
              <w:t>0,443</w:t>
            </w:r>
          </w:p>
        </w:tc>
        <w:tc>
          <w:tcPr>
            <w:tcW w:type="dxa" w:w="761"/>
            <w:vAlign w:val="center"/>
          </w:tcPr>
          <w:p>
            <w:pPr>
              <w:spacing w:before="20" w:after="20" w:line="240" w:lineRule="auto"/>
              <w:ind w:firstLine="0"/>
              <w:jc w:val="center"/>
            </w:pPr>
            <w:r>
              <w:rPr>
                <w:sz w:val="20"/>
              </w:rPr>
              <w:t>0,745</w:t>
            </w:r>
          </w:p>
        </w:tc>
        <w:tc>
          <w:tcPr>
            <w:tcW w:type="dxa" w:w="761"/>
            <w:vAlign w:val="center"/>
          </w:tcPr>
          <w:p>
            <w:pPr>
              <w:spacing w:before="20" w:after="20" w:line="240" w:lineRule="auto"/>
              <w:ind w:firstLine="0"/>
              <w:jc w:val="center"/>
            </w:pPr>
            <w:r>
              <w:rPr>
                <w:sz w:val="20"/>
              </w:rPr>
              <w:t>0,650</w:t>
            </w:r>
          </w:p>
        </w:tc>
        <w:tc>
          <w:tcPr>
            <w:tcW w:type="dxa" w:w="1015"/>
            <w:vAlign w:val="center"/>
          </w:tcPr>
          <w:p>
            <w:pPr>
              <w:spacing w:before="20" w:after="20" w:line="240" w:lineRule="auto"/>
              <w:ind w:firstLine="0"/>
              <w:jc w:val="center"/>
            </w:pPr>
            <w:r>
              <w:rPr>
                <w:sz w:val="20"/>
              </w:rPr>
              <w:t>−12,7 %</w:t>
            </w:r>
          </w:p>
        </w:tc>
        <w:tc>
          <w:tcPr>
            <w:tcW w:type="dxa" w:w="761"/>
            <w:vAlign w:val="center"/>
          </w:tcPr>
          <w:p>
            <w:pPr>
              <w:spacing w:before="20" w:after="20" w:line="240" w:lineRule="auto"/>
              <w:ind w:firstLine="0"/>
              <w:jc w:val="center"/>
            </w:pPr>
            <w:r>
              <w:rPr>
                <w:sz w:val="20"/>
              </w:rPr>
              <w:t>0,534</w:t>
            </w:r>
          </w:p>
        </w:tc>
      </w:tr>
    </w:tbl>
    <w:p>
      <w:pPr>
        <w:spacing w:before="40"/>
        <w:ind w:firstLine="0"/>
      </w:pPr>
      <w:r>
        <w:rPr>
          <w:i/>
          <w:sz w:val="22"/>
        </w:rPr>
        <w:t>Ghi chú: "trước", "sau": mô phỏng tái hiện (hai dòng đầu: mô phỏng theo sự kiện); "đo": log A.</w:t>
      </w:r>
    </w:p>
    <w:sectPr w:rsidR="007A12FB" w:rsidRPr="009E6113" w:rsidSect="00560E47">
      <w:headerReference w:type="default" r:id="rId61"/>
      <w:footerReference w:type="default" r:id="rId62"/>
      <w:pgSz w:w="11906" w:h="16838" w:code="9"/>
      <w:pgMar w:top="1417" w:right="850" w:bottom="1133" w:left="1984" w:header="737" w:footer="5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96C9C" w14:textId="77777777" w:rsidR="004737FE" w:rsidRPr="00A82A7A" w:rsidRDefault="004737FE">
      <w:pPr>
        <w:spacing w:line="240" w:lineRule="auto"/>
        <w:rPr>
          <w:sz w:val="24"/>
          <w:szCs w:val="24"/>
        </w:rPr>
      </w:pPr>
      <w:r w:rsidRPr="00A82A7A">
        <w:rPr>
          <w:sz w:val="24"/>
          <w:szCs w:val="24"/>
        </w:rPr>
        <w:separator/>
      </w:r>
    </w:p>
    <w:p w14:paraId="07C886C6" w14:textId="77777777" w:rsidR="004737FE" w:rsidRPr="00A82A7A" w:rsidRDefault="004737FE">
      <w:pPr>
        <w:rPr>
          <w:sz w:val="24"/>
          <w:szCs w:val="24"/>
        </w:rPr>
      </w:pPr>
    </w:p>
    <w:p w14:paraId="32E71533" w14:textId="77777777" w:rsidR="004737FE" w:rsidRPr="00A82A7A" w:rsidRDefault="004737FE">
      <w:pPr>
        <w:rPr>
          <w:sz w:val="23"/>
          <w:szCs w:val="23"/>
        </w:rPr>
      </w:pPr>
    </w:p>
    <w:p w14:paraId="66251300" w14:textId="77777777" w:rsidR="004737FE" w:rsidRPr="00A82A7A" w:rsidRDefault="004737FE">
      <w:pPr>
        <w:rPr>
          <w:sz w:val="25"/>
          <w:szCs w:val="25"/>
        </w:rPr>
      </w:pPr>
    </w:p>
    <w:p w14:paraId="3756E029" w14:textId="77777777" w:rsidR="004737FE" w:rsidRPr="00A82A7A" w:rsidRDefault="004737FE">
      <w:pPr>
        <w:rPr>
          <w:sz w:val="24"/>
          <w:szCs w:val="24"/>
        </w:rPr>
      </w:pPr>
    </w:p>
    <w:p w14:paraId="1AE253B9" w14:textId="77777777" w:rsidR="004737FE" w:rsidRPr="00A82A7A" w:rsidRDefault="004737FE">
      <w:pPr>
        <w:rPr>
          <w:sz w:val="24"/>
          <w:szCs w:val="24"/>
        </w:rPr>
      </w:pPr>
    </w:p>
    <w:p w14:paraId="77B296FA" w14:textId="77777777" w:rsidR="004737FE" w:rsidRPr="00A82A7A" w:rsidRDefault="004737FE">
      <w:pPr>
        <w:rPr>
          <w:sz w:val="23"/>
          <w:szCs w:val="23"/>
        </w:rPr>
      </w:pPr>
    </w:p>
    <w:p w14:paraId="1956EC8F" w14:textId="77777777" w:rsidR="004737FE" w:rsidRDefault="004737FE"/>
    <w:p w14:paraId="36BDE79E" w14:textId="77777777" w:rsidR="004737FE" w:rsidRDefault="004737FE"/>
  </w:endnote>
  <w:endnote w:type="continuationSeparator" w:id="0">
    <w:p w14:paraId="681C2195" w14:textId="77777777" w:rsidR="004737FE" w:rsidRPr="00A82A7A" w:rsidRDefault="004737FE">
      <w:pPr>
        <w:spacing w:line="240" w:lineRule="auto"/>
        <w:rPr>
          <w:sz w:val="24"/>
          <w:szCs w:val="24"/>
        </w:rPr>
      </w:pPr>
      <w:r w:rsidRPr="00A82A7A">
        <w:rPr>
          <w:sz w:val="24"/>
          <w:szCs w:val="24"/>
        </w:rPr>
        <w:continuationSeparator/>
      </w:r>
    </w:p>
    <w:p w14:paraId="1A41524F" w14:textId="77777777" w:rsidR="004737FE" w:rsidRPr="00A82A7A" w:rsidRDefault="004737FE">
      <w:pPr>
        <w:rPr>
          <w:sz w:val="24"/>
          <w:szCs w:val="24"/>
        </w:rPr>
      </w:pPr>
    </w:p>
    <w:p w14:paraId="56FF59DE" w14:textId="77777777" w:rsidR="004737FE" w:rsidRPr="00A82A7A" w:rsidRDefault="004737FE">
      <w:pPr>
        <w:rPr>
          <w:sz w:val="23"/>
          <w:szCs w:val="23"/>
        </w:rPr>
      </w:pPr>
    </w:p>
    <w:p w14:paraId="1D278A31" w14:textId="77777777" w:rsidR="004737FE" w:rsidRPr="00A82A7A" w:rsidRDefault="004737FE">
      <w:pPr>
        <w:rPr>
          <w:sz w:val="25"/>
          <w:szCs w:val="25"/>
        </w:rPr>
      </w:pPr>
    </w:p>
    <w:p w14:paraId="10ED4CE6" w14:textId="77777777" w:rsidR="004737FE" w:rsidRPr="00A82A7A" w:rsidRDefault="004737FE">
      <w:pPr>
        <w:rPr>
          <w:sz w:val="24"/>
          <w:szCs w:val="24"/>
        </w:rPr>
      </w:pPr>
    </w:p>
    <w:p w14:paraId="7AABD7E3" w14:textId="77777777" w:rsidR="004737FE" w:rsidRPr="00A82A7A" w:rsidRDefault="004737FE">
      <w:pPr>
        <w:rPr>
          <w:sz w:val="24"/>
          <w:szCs w:val="24"/>
        </w:rPr>
      </w:pPr>
    </w:p>
    <w:p w14:paraId="2D86127B" w14:textId="77777777" w:rsidR="004737FE" w:rsidRPr="00A82A7A" w:rsidRDefault="004737FE">
      <w:pPr>
        <w:rPr>
          <w:sz w:val="23"/>
          <w:szCs w:val="23"/>
        </w:rPr>
      </w:pPr>
    </w:p>
    <w:p w14:paraId="0B7FCBA2" w14:textId="77777777" w:rsidR="004737FE" w:rsidRDefault="004737FE"/>
    <w:p w14:paraId="40B3BC40" w14:textId="77777777" w:rsidR="004737FE" w:rsidRDefault="00473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4D1A" w14:textId="30BE14B6" w:rsidR="00D261DC" w:rsidRDefault="00D261DC" w:rsidP="00D261D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DF22C" w14:textId="70023729" w:rsidR="00C20E2D" w:rsidRDefault="00E83A3B">
    <w: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AC9F8" w14:textId="77777777" w:rsidR="004737FE" w:rsidRPr="00A82A7A" w:rsidRDefault="004737FE">
      <w:pPr>
        <w:spacing w:line="240" w:lineRule="auto"/>
        <w:rPr>
          <w:sz w:val="24"/>
          <w:szCs w:val="24"/>
        </w:rPr>
      </w:pPr>
      <w:r w:rsidRPr="00A82A7A">
        <w:rPr>
          <w:sz w:val="24"/>
          <w:szCs w:val="24"/>
        </w:rPr>
        <w:separator/>
      </w:r>
    </w:p>
    <w:p w14:paraId="53730988" w14:textId="77777777" w:rsidR="004737FE" w:rsidRPr="00A82A7A" w:rsidRDefault="004737FE">
      <w:pPr>
        <w:rPr>
          <w:sz w:val="24"/>
          <w:szCs w:val="24"/>
        </w:rPr>
      </w:pPr>
    </w:p>
    <w:p w14:paraId="7F418975" w14:textId="77777777" w:rsidR="004737FE" w:rsidRPr="00A82A7A" w:rsidRDefault="004737FE">
      <w:pPr>
        <w:rPr>
          <w:sz w:val="23"/>
          <w:szCs w:val="23"/>
        </w:rPr>
      </w:pPr>
    </w:p>
    <w:p w14:paraId="104352A8" w14:textId="77777777" w:rsidR="004737FE" w:rsidRPr="00A82A7A" w:rsidRDefault="004737FE">
      <w:pPr>
        <w:rPr>
          <w:sz w:val="25"/>
          <w:szCs w:val="25"/>
        </w:rPr>
      </w:pPr>
    </w:p>
    <w:p w14:paraId="01C6A1F8" w14:textId="77777777" w:rsidR="004737FE" w:rsidRPr="00A82A7A" w:rsidRDefault="004737FE">
      <w:pPr>
        <w:rPr>
          <w:sz w:val="24"/>
          <w:szCs w:val="24"/>
        </w:rPr>
      </w:pPr>
    </w:p>
    <w:p w14:paraId="3C405DA4" w14:textId="77777777" w:rsidR="004737FE" w:rsidRPr="00A82A7A" w:rsidRDefault="004737FE">
      <w:pPr>
        <w:rPr>
          <w:sz w:val="24"/>
          <w:szCs w:val="24"/>
        </w:rPr>
      </w:pPr>
    </w:p>
    <w:p w14:paraId="0C553F6A" w14:textId="77777777" w:rsidR="004737FE" w:rsidRPr="00A82A7A" w:rsidRDefault="004737FE">
      <w:pPr>
        <w:rPr>
          <w:sz w:val="23"/>
          <w:szCs w:val="23"/>
        </w:rPr>
      </w:pPr>
    </w:p>
    <w:p w14:paraId="3D6E8007" w14:textId="77777777" w:rsidR="004737FE" w:rsidRDefault="004737FE"/>
    <w:p w14:paraId="53326110" w14:textId="77777777" w:rsidR="004737FE" w:rsidRDefault="004737FE"/>
  </w:footnote>
  <w:footnote w:type="continuationSeparator" w:id="0">
    <w:p w14:paraId="1593EB96" w14:textId="77777777" w:rsidR="004737FE" w:rsidRPr="00A82A7A" w:rsidRDefault="004737FE">
      <w:pPr>
        <w:spacing w:line="240" w:lineRule="auto"/>
        <w:rPr>
          <w:sz w:val="24"/>
          <w:szCs w:val="24"/>
        </w:rPr>
      </w:pPr>
      <w:r w:rsidRPr="00A82A7A">
        <w:rPr>
          <w:sz w:val="24"/>
          <w:szCs w:val="24"/>
        </w:rPr>
        <w:continuationSeparator/>
      </w:r>
    </w:p>
    <w:p w14:paraId="66C18D1E" w14:textId="77777777" w:rsidR="004737FE" w:rsidRPr="00A82A7A" w:rsidRDefault="004737FE">
      <w:pPr>
        <w:rPr>
          <w:sz w:val="24"/>
          <w:szCs w:val="24"/>
        </w:rPr>
      </w:pPr>
    </w:p>
    <w:p w14:paraId="2A4F9782" w14:textId="77777777" w:rsidR="004737FE" w:rsidRPr="00A82A7A" w:rsidRDefault="004737FE">
      <w:pPr>
        <w:rPr>
          <w:sz w:val="23"/>
          <w:szCs w:val="23"/>
        </w:rPr>
      </w:pPr>
    </w:p>
    <w:p w14:paraId="4A742760" w14:textId="77777777" w:rsidR="004737FE" w:rsidRPr="00A82A7A" w:rsidRDefault="004737FE">
      <w:pPr>
        <w:rPr>
          <w:sz w:val="25"/>
          <w:szCs w:val="25"/>
        </w:rPr>
      </w:pPr>
    </w:p>
    <w:p w14:paraId="65175CD9" w14:textId="77777777" w:rsidR="004737FE" w:rsidRPr="00A82A7A" w:rsidRDefault="004737FE">
      <w:pPr>
        <w:rPr>
          <w:sz w:val="24"/>
          <w:szCs w:val="24"/>
        </w:rPr>
      </w:pPr>
    </w:p>
    <w:p w14:paraId="4C51DBE7" w14:textId="77777777" w:rsidR="004737FE" w:rsidRPr="00A82A7A" w:rsidRDefault="004737FE">
      <w:pPr>
        <w:rPr>
          <w:sz w:val="24"/>
          <w:szCs w:val="24"/>
        </w:rPr>
      </w:pPr>
    </w:p>
    <w:p w14:paraId="7B6E1C68" w14:textId="77777777" w:rsidR="004737FE" w:rsidRPr="00A82A7A" w:rsidRDefault="004737FE">
      <w:pPr>
        <w:rPr>
          <w:sz w:val="23"/>
          <w:szCs w:val="23"/>
        </w:rPr>
      </w:pPr>
    </w:p>
    <w:p w14:paraId="4A44CCC6" w14:textId="77777777" w:rsidR="004737FE" w:rsidRDefault="004737FE"/>
    <w:p w14:paraId="4C709FAC" w14:textId="77777777" w:rsidR="004737FE" w:rsidRDefault="00473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F1497" w14:textId="77777777" w:rsidR="00C20E2D" w:rsidRDefault="00444DA1">
    <w:pPr>
      <w:jc w:val="center"/>
    </w:pP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3E66"/>
    <w:multiLevelType w:val="hybridMultilevel"/>
    <w:tmpl w:val="5EC877D4"/>
    <w:lvl w:ilvl="0" w:tplc="55CE4E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4346AD"/>
    <w:multiLevelType w:val="hybridMultilevel"/>
    <w:tmpl w:val="3AC4D9C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0FFF6B1E"/>
    <w:multiLevelType w:val="hybridMultilevel"/>
    <w:tmpl w:val="50A08480"/>
    <w:lvl w:ilvl="0" w:tplc="7BE800F6">
      <w:start w:val="1"/>
      <w:numFmt w:val="decimal"/>
      <w:lvlText w:val="[%1]"/>
      <w:lvlJc w:val="left"/>
      <w:pPr>
        <w:ind w:left="720" w:hanging="360"/>
      </w:pPr>
      <w:rPr>
        <w:rFonts w:ascii="[1]" w:hAnsi="[1]"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067EA"/>
    <w:multiLevelType w:val="hybridMultilevel"/>
    <w:tmpl w:val="ED2E9020"/>
    <w:lvl w:ilvl="0" w:tplc="C67E7D8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6DE47D2"/>
    <w:multiLevelType w:val="hybridMultilevel"/>
    <w:tmpl w:val="119249DA"/>
    <w:lvl w:ilvl="0" w:tplc="8DBAC29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lvlOverride w:ilvl="0">
      <w:startOverride w:val="1"/>
    </w:lvlOverride>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12FB"/>
    <w:rsid w:val="00001B9A"/>
    <w:rsid w:val="00004541"/>
    <w:rsid w:val="000062FC"/>
    <w:rsid w:val="000066F0"/>
    <w:rsid w:val="00006FF5"/>
    <w:rsid w:val="00010E23"/>
    <w:rsid w:val="000128D3"/>
    <w:rsid w:val="00013419"/>
    <w:rsid w:val="00020597"/>
    <w:rsid w:val="00024147"/>
    <w:rsid w:val="00025AF7"/>
    <w:rsid w:val="000273FF"/>
    <w:rsid w:val="00032915"/>
    <w:rsid w:val="00032A85"/>
    <w:rsid w:val="00042CA7"/>
    <w:rsid w:val="0004301D"/>
    <w:rsid w:val="00045123"/>
    <w:rsid w:val="000501C1"/>
    <w:rsid w:val="00050DD1"/>
    <w:rsid w:val="000536C7"/>
    <w:rsid w:val="000568F4"/>
    <w:rsid w:val="00056E0F"/>
    <w:rsid w:val="0006009C"/>
    <w:rsid w:val="00062790"/>
    <w:rsid w:val="00064A0F"/>
    <w:rsid w:val="000655E9"/>
    <w:rsid w:val="00065FE6"/>
    <w:rsid w:val="00070FD0"/>
    <w:rsid w:val="000732BD"/>
    <w:rsid w:val="00075F31"/>
    <w:rsid w:val="000779D2"/>
    <w:rsid w:val="000802F4"/>
    <w:rsid w:val="00087B9A"/>
    <w:rsid w:val="000A00D0"/>
    <w:rsid w:val="000A062F"/>
    <w:rsid w:val="000A3AF9"/>
    <w:rsid w:val="000A5833"/>
    <w:rsid w:val="000B68F6"/>
    <w:rsid w:val="000C231D"/>
    <w:rsid w:val="000D1DD9"/>
    <w:rsid w:val="000E11C1"/>
    <w:rsid w:val="000E25B6"/>
    <w:rsid w:val="000E4D47"/>
    <w:rsid w:val="000E601A"/>
    <w:rsid w:val="000E65FC"/>
    <w:rsid w:val="000E754C"/>
    <w:rsid w:val="000F5456"/>
    <w:rsid w:val="000F6D4B"/>
    <w:rsid w:val="00102330"/>
    <w:rsid w:val="00105138"/>
    <w:rsid w:val="0011073A"/>
    <w:rsid w:val="0011288F"/>
    <w:rsid w:val="001130AD"/>
    <w:rsid w:val="0011365F"/>
    <w:rsid w:val="00115ACB"/>
    <w:rsid w:val="00117402"/>
    <w:rsid w:val="0012308E"/>
    <w:rsid w:val="00130E28"/>
    <w:rsid w:val="00137B7D"/>
    <w:rsid w:val="00140818"/>
    <w:rsid w:val="001411A1"/>
    <w:rsid w:val="001417EF"/>
    <w:rsid w:val="00142E2F"/>
    <w:rsid w:val="001463A3"/>
    <w:rsid w:val="00151654"/>
    <w:rsid w:val="001623CE"/>
    <w:rsid w:val="001660B8"/>
    <w:rsid w:val="001671E2"/>
    <w:rsid w:val="001676EB"/>
    <w:rsid w:val="001859E4"/>
    <w:rsid w:val="0019157D"/>
    <w:rsid w:val="00191C6C"/>
    <w:rsid w:val="001967F8"/>
    <w:rsid w:val="001970E1"/>
    <w:rsid w:val="001A0CC8"/>
    <w:rsid w:val="001B0714"/>
    <w:rsid w:val="001B22E1"/>
    <w:rsid w:val="001B56AB"/>
    <w:rsid w:val="001B79D6"/>
    <w:rsid w:val="001C07E7"/>
    <w:rsid w:val="001C0C98"/>
    <w:rsid w:val="001C1D5B"/>
    <w:rsid w:val="001C4568"/>
    <w:rsid w:val="001C5E62"/>
    <w:rsid w:val="001D4EDA"/>
    <w:rsid w:val="001E4931"/>
    <w:rsid w:val="001E6877"/>
    <w:rsid w:val="001E7F7B"/>
    <w:rsid w:val="001F1CEC"/>
    <w:rsid w:val="001F435E"/>
    <w:rsid w:val="001F5BCA"/>
    <w:rsid w:val="001F661B"/>
    <w:rsid w:val="001F6A55"/>
    <w:rsid w:val="00207618"/>
    <w:rsid w:val="00212845"/>
    <w:rsid w:val="00215C7F"/>
    <w:rsid w:val="00217E44"/>
    <w:rsid w:val="00227E5D"/>
    <w:rsid w:val="00230BBF"/>
    <w:rsid w:val="0023239F"/>
    <w:rsid w:val="002349BE"/>
    <w:rsid w:val="00243949"/>
    <w:rsid w:val="002535F1"/>
    <w:rsid w:val="002620B2"/>
    <w:rsid w:val="00263E85"/>
    <w:rsid w:val="00264D5B"/>
    <w:rsid w:val="00282789"/>
    <w:rsid w:val="0028673A"/>
    <w:rsid w:val="00291ED8"/>
    <w:rsid w:val="00292A50"/>
    <w:rsid w:val="002A7FBE"/>
    <w:rsid w:val="002B03F6"/>
    <w:rsid w:val="002B1172"/>
    <w:rsid w:val="002B3B5F"/>
    <w:rsid w:val="002B571D"/>
    <w:rsid w:val="002C1307"/>
    <w:rsid w:val="002C34EE"/>
    <w:rsid w:val="002C57B1"/>
    <w:rsid w:val="002C6B36"/>
    <w:rsid w:val="002D0D12"/>
    <w:rsid w:val="002D3B9F"/>
    <w:rsid w:val="002D5850"/>
    <w:rsid w:val="002E1FEF"/>
    <w:rsid w:val="002E4DC6"/>
    <w:rsid w:val="002F0727"/>
    <w:rsid w:val="002F2A29"/>
    <w:rsid w:val="002F4A4A"/>
    <w:rsid w:val="002F58A3"/>
    <w:rsid w:val="00300356"/>
    <w:rsid w:val="00302A92"/>
    <w:rsid w:val="003050B5"/>
    <w:rsid w:val="003147B6"/>
    <w:rsid w:val="003204C1"/>
    <w:rsid w:val="00320FD5"/>
    <w:rsid w:val="0032183F"/>
    <w:rsid w:val="00326F80"/>
    <w:rsid w:val="00327BBE"/>
    <w:rsid w:val="003371FF"/>
    <w:rsid w:val="003417BD"/>
    <w:rsid w:val="00345897"/>
    <w:rsid w:val="003514C6"/>
    <w:rsid w:val="00354C1B"/>
    <w:rsid w:val="00356AC8"/>
    <w:rsid w:val="00362196"/>
    <w:rsid w:val="0036299E"/>
    <w:rsid w:val="00364331"/>
    <w:rsid w:val="00367D33"/>
    <w:rsid w:val="00376310"/>
    <w:rsid w:val="00381AD9"/>
    <w:rsid w:val="003945CF"/>
    <w:rsid w:val="00396BBD"/>
    <w:rsid w:val="003A17B0"/>
    <w:rsid w:val="003A5B07"/>
    <w:rsid w:val="003B1BCA"/>
    <w:rsid w:val="003B3DB0"/>
    <w:rsid w:val="003B5F30"/>
    <w:rsid w:val="003B7280"/>
    <w:rsid w:val="003B7FC9"/>
    <w:rsid w:val="003C33CB"/>
    <w:rsid w:val="003C4611"/>
    <w:rsid w:val="003C479F"/>
    <w:rsid w:val="003C5573"/>
    <w:rsid w:val="003D086B"/>
    <w:rsid w:val="003D384F"/>
    <w:rsid w:val="003D3CCA"/>
    <w:rsid w:val="003E0DEA"/>
    <w:rsid w:val="003E2114"/>
    <w:rsid w:val="003E39D7"/>
    <w:rsid w:val="003E53A4"/>
    <w:rsid w:val="003E5BAA"/>
    <w:rsid w:val="003E73E6"/>
    <w:rsid w:val="003F0AE9"/>
    <w:rsid w:val="003F1E8E"/>
    <w:rsid w:val="0040020F"/>
    <w:rsid w:val="00404A3F"/>
    <w:rsid w:val="00407B37"/>
    <w:rsid w:val="004168BC"/>
    <w:rsid w:val="00417AC4"/>
    <w:rsid w:val="00422D52"/>
    <w:rsid w:val="004251B6"/>
    <w:rsid w:val="00432E09"/>
    <w:rsid w:val="00436E90"/>
    <w:rsid w:val="0044042E"/>
    <w:rsid w:val="00440C91"/>
    <w:rsid w:val="00441412"/>
    <w:rsid w:val="00444DA1"/>
    <w:rsid w:val="00447AC9"/>
    <w:rsid w:val="00451EE9"/>
    <w:rsid w:val="00454C45"/>
    <w:rsid w:val="00457D0F"/>
    <w:rsid w:val="004664E8"/>
    <w:rsid w:val="0046738D"/>
    <w:rsid w:val="004725FE"/>
    <w:rsid w:val="0047274D"/>
    <w:rsid w:val="004737FE"/>
    <w:rsid w:val="00480A51"/>
    <w:rsid w:val="004820BA"/>
    <w:rsid w:val="00485579"/>
    <w:rsid w:val="00486422"/>
    <w:rsid w:val="004918C5"/>
    <w:rsid w:val="0049358D"/>
    <w:rsid w:val="00493DDB"/>
    <w:rsid w:val="0049443B"/>
    <w:rsid w:val="004965C0"/>
    <w:rsid w:val="004A7022"/>
    <w:rsid w:val="004A7067"/>
    <w:rsid w:val="004A72E7"/>
    <w:rsid w:val="004A73BE"/>
    <w:rsid w:val="004B57DF"/>
    <w:rsid w:val="004B6328"/>
    <w:rsid w:val="004C6A60"/>
    <w:rsid w:val="004D3238"/>
    <w:rsid w:val="004D33D8"/>
    <w:rsid w:val="004E1F68"/>
    <w:rsid w:val="004E2671"/>
    <w:rsid w:val="004E2A5F"/>
    <w:rsid w:val="004E30DB"/>
    <w:rsid w:val="004E4B56"/>
    <w:rsid w:val="004E6A0E"/>
    <w:rsid w:val="004E71D0"/>
    <w:rsid w:val="004E7E6E"/>
    <w:rsid w:val="004F1EB7"/>
    <w:rsid w:val="004F3D42"/>
    <w:rsid w:val="004F5858"/>
    <w:rsid w:val="005020D8"/>
    <w:rsid w:val="00502B1A"/>
    <w:rsid w:val="005056B5"/>
    <w:rsid w:val="00505D44"/>
    <w:rsid w:val="005229B5"/>
    <w:rsid w:val="00525A85"/>
    <w:rsid w:val="00534FBA"/>
    <w:rsid w:val="00535AB5"/>
    <w:rsid w:val="00535B4D"/>
    <w:rsid w:val="0054310D"/>
    <w:rsid w:val="0054404C"/>
    <w:rsid w:val="0056038E"/>
    <w:rsid w:val="00560E47"/>
    <w:rsid w:val="00560EC1"/>
    <w:rsid w:val="0057482C"/>
    <w:rsid w:val="0058049B"/>
    <w:rsid w:val="00580AAF"/>
    <w:rsid w:val="005827DF"/>
    <w:rsid w:val="005865AA"/>
    <w:rsid w:val="00591210"/>
    <w:rsid w:val="0059142B"/>
    <w:rsid w:val="00592EA7"/>
    <w:rsid w:val="005968BA"/>
    <w:rsid w:val="00596A47"/>
    <w:rsid w:val="005A47B1"/>
    <w:rsid w:val="005A7100"/>
    <w:rsid w:val="005B05E6"/>
    <w:rsid w:val="005B07F5"/>
    <w:rsid w:val="005B2D05"/>
    <w:rsid w:val="005C5E1D"/>
    <w:rsid w:val="005D7978"/>
    <w:rsid w:val="005E5036"/>
    <w:rsid w:val="005E6626"/>
    <w:rsid w:val="005F07F7"/>
    <w:rsid w:val="005F63D1"/>
    <w:rsid w:val="00601BFE"/>
    <w:rsid w:val="00603B13"/>
    <w:rsid w:val="00605650"/>
    <w:rsid w:val="00605767"/>
    <w:rsid w:val="006066E6"/>
    <w:rsid w:val="00613405"/>
    <w:rsid w:val="00614543"/>
    <w:rsid w:val="00615D6D"/>
    <w:rsid w:val="00620988"/>
    <w:rsid w:val="00623C59"/>
    <w:rsid w:val="00623FE6"/>
    <w:rsid w:val="00624FE6"/>
    <w:rsid w:val="0062565A"/>
    <w:rsid w:val="006369AF"/>
    <w:rsid w:val="00636B74"/>
    <w:rsid w:val="00636D87"/>
    <w:rsid w:val="00637E70"/>
    <w:rsid w:val="00642EA1"/>
    <w:rsid w:val="00643161"/>
    <w:rsid w:val="006518EE"/>
    <w:rsid w:val="00652549"/>
    <w:rsid w:val="00656943"/>
    <w:rsid w:val="006657C3"/>
    <w:rsid w:val="00667223"/>
    <w:rsid w:val="00672344"/>
    <w:rsid w:val="006726CA"/>
    <w:rsid w:val="00674645"/>
    <w:rsid w:val="00676305"/>
    <w:rsid w:val="00676574"/>
    <w:rsid w:val="006817EB"/>
    <w:rsid w:val="0068491C"/>
    <w:rsid w:val="00687E28"/>
    <w:rsid w:val="006912C2"/>
    <w:rsid w:val="006B2A1E"/>
    <w:rsid w:val="006B3B13"/>
    <w:rsid w:val="006B44BA"/>
    <w:rsid w:val="006B4558"/>
    <w:rsid w:val="006B7FB3"/>
    <w:rsid w:val="006C3A99"/>
    <w:rsid w:val="006D2F33"/>
    <w:rsid w:val="006D2FBF"/>
    <w:rsid w:val="006D3BC7"/>
    <w:rsid w:val="006D42ED"/>
    <w:rsid w:val="006D7A77"/>
    <w:rsid w:val="006D7C2F"/>
    <w:rsid w:val="006E4E50"/>
    <w:rsid w:val="006F21FF"/>
    <w:rsid w:val="006F6ECC"/>
    <w:rsid w:val="00702337"/>
    <w:rsid w:val="00707631"/>
    <w:rsid w:val="007117EE"/>
    <w:rsid w:val="00712982"/>
    <w:rsid w:val="00712CC8"/>
    <w:rsid w:val="007142EC"/>
    <w:rsid w:val="007154B3"/>
    <w:rsid w:val="00717C41"/>
    <w:rsid w:val="00722391"/>
    <w:rsid w:val="00730248"/>
    <w:rsid w:val="007309F4"/>
    <w:rsid w:val="00730D11"/>
    <w:rsid w:val="00732775"/>
    <w:rsid w:val="00737EE9"/>
    <w:rsid w:val="00741D96"/>
    <w:rsid w:val="007501CF"/>
    <w:rsid w:val="00750D3A"/>
    <w:rsid w:val="007528C5"/>
    <w:rsid w:val="00753B50"/>
    <w:rsid w:val="007545FC"/>
    <w:rsid w:val="00755F83"/>
    <w:rsid w:val="007611AA"/>
    <w:rsid w:val="007665F4"/>
    <w:rsid w:val="00770229"/>
    <w:rsid w:val="00770ADC"/>
    <w:rsid w:val="00770CD3"/>
    <w:rsid w:val="0077204D"/>
    <w:rsid w:val="007756CC"/>
    <w:rsid w:val="00783685"/>
    <w:rsid w:val="00784AF4"/>
    <w:rsid w:val="00785776"/>
    <w:rsid w:val="0078640B"/>
    <w:rsid w:val="007904C9"/>
    <w:rsid w:val="00793768"/>
    <w:rsid w:val="007A12FB"/>
    <w:rsid w:val="007A2D86"/>
    <w:rsid w:val="007A2DE1"/>
    <w:rsid w:val="007A79C2"/>
    <w:rsid w:val="007A7B81"/>
    <w:rsid w:val="007B15D6"/>
    <w:rsid w:val="007B23B8"/>
    <w:rsid w:val="007C163A"/>
    <w:rsid w:val="007C217F"/>
    <w:rsid w:val="007C51A1"/>
    <w:rsid w:val="007D712B"/>
    <w:rsid w:val="007E13A1"/>
    <w:rsid w:val="007E4E7C"/>
    <w:rsid w:val="007F1754"/>
    <w:rsid w:val="007F7D44"/>
    <w:rsid w:val="00801DC6"/>
    <w:rsid w:val="008038D2"/>
    <w:rsid w:val="0081386B"/>
    <w:rsid w:val="0081487E"/>
    <w:rsid w:val="00822500"/>
    <w:rsid w:val="00825915"/>
    <w:rsid w:val="0083042D"/>
    <w:rsid w:val="00842C5C"/>
    <w:rsid w:val="0084351E"/>
    <w:rsid w:val="00843BB4"/>
    <w:rsid w:val="00844E21"/>
    <w:rsid w:val="00845F68"/>
    <w:rsid w:val="008475DF"/>
    <w:rsid w:val="00850B3B"/>
    <w:rsid w:val="00851737"/>
    <w:rsid w:val="008537AE"/>
    <w:rsid w:val="00855F6D"/>
    <w:rsid w:val="00856191"/>
    <w:rsid w:val="00860D64"/>
    <w:rsid w:val="0086169D"/>
    <w:rsid w:val="0086344F"/>
    <w:rsid w:val="00863B77"/>
    <w:rsid w:val="00863E2A"/>
    <w:rsid w:val="00863E82"/>
    <w:rsid w:val="00864DA7"/>
    <w:rsid w:val="00864E5E"/>
    <w:rsid w:val="008762DF"/>
    <w:rsid w:val="00880393"/>
    <w:rsid w:val="00886F73"/>
    <w:rsid w:val="0089022D"/>
    <w:rsid w:val="008A0D36"/>
    <w:rsid w:val="008A1985"/>
    <w:rsid w:val="008A3A55"/>
    <w:rsid w:val="008A6011"/>
    <w:rsid w:val="008B0931"/>
    <w:rsid w:val="008B0D8F"/>
    <w:rsid w:val="008B22A4"/>
    <w:rsid w:val="008B5B37"/>
    <w:rsid w:val="008C0F4A"/>
    <w:rsid w:val="008C4AE1"/>
    <w:rsid w:val="008C4D90"/>
    <w:rsid w:val="008C4ECC"/>
    <w:rsid w:val="008C7AC3"/>
    <w:rsid w:val="008D42AC"/>
    <w:rsid w:val="008D6820"/>
    <w:rsid w:val="008E1C08"/>
    <w:rsid w:val="008E71C4"/>
    <w:rsid w:val="008F01B2"/>
    <w:rsid w:val="008F3C88"/>
    <w:rsid w:val="008F5CBD"/>
    <w:rsid w:val="00905300"/>
    <w:rsid w:val="009118EC"/>
    <w:rsid w:val="00914FA5"/>
    <w:rsid w:val="009150C6"/>
    <w:rsid w:val="0091772A"/>
    <w:rsid w:val="009223B7"/>
    <w:rsid w:val="00931536"/>
    <w:rsid w:val="00932B92"/>
    <w:rsid w:val="00933ED0"/>
    <w:rsid w:val="00934DC9"/>
    <w:rsid w:val="009369BE"/>
    <w:rsid w:val="00940B6C"/>
    <w:rsid w:val="00940BDB"/>
    <w:rsid w:val="00943C6A"/>
    <w:rsid w:val="00944FBC"/>
    <w:rsid w:val="00946C77"/>
    <w:rsid w:val="00947D6C"/>
    <w:rsid w:val="00947DC6"/>
    <w:rsid w:val="009506B8"/>
    <w:rsid w:val="00954F16"/>
    <w:rsid w:val="009576C2"/>
    <w:rsid w:val="0096535D"/>
    <w:rsid w:val="00971D08"/>
    <w:rsid w:val="00972EB0"/>
    <w:rsid w:val="00973CF7"/>
    <w:rsid w:val="00975F29"/>
    <w:rsid w:val="00977D11"/>
    <w:rsid w:val="0098007B"/>
    <w:rsid w:val="0098147F"/>
    <w:rsid w:val="009822AC"/>
    <w:rsid w:val="009827B8"/>
    <w:rsid w:val="00982C21"/>
    <w:rsid w:val="00983024"/>
    <w:rsid w:val="00983FAA"/>
    <w:rsid w:val="009852FC"/>
    <w:rsid w:val="009864D6"/>
    <w:rsid w:val="00986861"/>
    <w:rsid w:val="009942A4"/>
    <w:rsid w:val="00995832"/>
    <w:rsid w:val="00995985"/>
    <w:rsid w:val="009A5512"/>
    <w:rsid w:val="009A635C"/>
    <w:rsid w:val="009C1ECF"/>
    <w:rsid w:val="009C47EF"/>
    <w:rsid w:val="009D26B9"/>
    <w:rsid w:val="009D5B4F"/>
    <w:rsid w:val="009E165F"/>
    <w:rsid w:val="009E6113"/>
    <w:rsid w:val="00A02C66"/>
    <w:rsid w:val="00A10991"/>
    <w:rsid w:val="00A116C6"/>
    <w:rsid w:val="00A128D1"/>
    <w:rsid w:val="00A1347F"/>
    <w:rsid w:val="00A1632C"/>
    <w:rsid w:val="00A24BB8"/>
    <w:rsid w:val="00A37352"/>
    <w:rsid w:val="00A41154"/>
    <w:rsid w:val="00A44C25"/>
    <w:rsid w:val="00A50E69"/>
    <w:rsid w:val="00A653AD"/>
    <w:rsid w:val="00A7327F"/>
    <w:rsid w:val="00A7602A"/>
    <w:rsid w:val="00A76630"/>
    <w:rsid w:val="00A76C18"/>
    <w:rsid w:val="00A82A7A"/>
    <w:rsid w:val="00A85970"/>
    <w:rsid w:val="00A94041"/>
    <w:rsid w:val="00A949E5"/>
    <w:rsid w:val="00A957ED"/>
    <w:rsid w:val="00AA2436"/>
    <w:rsid w:val="00AA273F"/>
    <w:rsid w:val="00AB4100"/>
    <w:rsid w:val="00AB5EE6"/>
    <w:rsid w:val="00AB684F"/>
    <w:rsid w:val="00AC1AC4"/>
    <w:rsid w:val="00AC5CB0"/>
    <w:rsid w:val="00AD149B"/>
    <w:rsid w:val="00AD4F65"/>
    <w:rsid w:val="00AE1D40"/>
    <w:rsid w:val="00AE71EF"/>
    <w:rsid w:val="00AF215A"/>
    <w:rsid w:val="00AF3266"/>
    <w:rsid w:val="00B0081B"/>
    <w:rsid w:val="00B0143A"/>
    <w:rsid w:val="00B06A29"/>
    <w:rsid w:val="00B120C6"/>
    <w:rsid w:val="00B13B91"/>
    <w:rsid w:val="00B1406E"/>
    <w:rsid w:val="00B14E44"/>
    <w:rsid w:val="00B1647E"/>
    <w:rsid w:val="00B17CB5"/>
    <w:rsid w:val="00B22D20"/>
    <w:rsid w:val="00B32ABC"/>
    <w:rsid w:val="00B34C24"/>
    <w:rsid w:val="00B41973"/>
    <w:rsid w:val="00B440C5"/>
    <w:rsid w:val="00B45864"/>
    <w:rsid w:val="00B46E0D"/>
    <w:rsid w:val="00B51A1A"/>
    <w:rsid w:val="00B533D6"/>
    <w:rsid w:val="00B54181"/>
    <w:rsid w:val="00B57E5D"/>
    <w:rsid w:val="00B607D5"/>
    <w:rsid w:val="00B62879"/>
    <w:rsid w:val="00B633C6"/>
    <w:rsid w:val="00B651AB"/>
    <w:rsid w:val="00B67CFA"/>
    <w:rsid w:val="00B707DA"/>
    <w:rsid w:val="00B70C8D"/>
    <w:rsid w:val="00B71438"/>
    <w:rsid w:val="00B77E66"/>
    <w:rsid w:val="00B8011B"/>
    <w:rsid w:val="00B81F9B"/>
    <w:rsid w:val="00B86B7D"/>
    <w:rsid w:val="00B93505"/>
    <w:rsid w:val="00B93C28"/>
    <w:rsid w:val="00B975F2"/>
    <w:rsid w:val="00B97906"/>
    <w:rsid w:val="00B9792B"/>
    <w:rsid w:val="00BA12D8"/>
    <w:rsid w:val="00BA1D84"/>
    <w:rsid w:val="00BB299A"/>
    <w:rsid w:val="00BC228C"/>
    <w:rsid w:val="00BC6CEE"/>
    <w:rsid w:val="00BC773A"/>
    <w:rsid w:val="00BD5D2C"/>
    <w:rsid w:val="00BE04C4"/>
    <w:rsid w:val="00BE3883"/>
    <w:rsid w:val="00BE6875"/>
    <w:rsid w:val="00BF27E0"/>
    <w:rsid w:val="00BF4CFE"/>
    <w:rsid w:val="00C00E81"/>
    <w:rsid w:val="00C01D1D"/>
    <w:rsid w:val="00C05B06"/>
    <w:rsid w:val="00C109F0"/>
    <w:rsid w:val="00C10EEF"/>
    <w:rsid w:val="00C129AC"/>
    <w:rsid w:val="00C17E46"/>
    <w:rsid w:val="00C20E2D"/>
    <w:rsid w:val="00C222F7"/>
    <w:rsid w:val="00C24145"/>
    <w:rsid w:val="00C24705"/>
    <w:rsid w:val="00C252B2"/>
    <w:rsid w:val="00C25BCC"/>
    <w:rsid w:val="00C33E2F"/>
    <w:rsid w:val="00C368F1"/>
    <w:rsid w:val="00C36F35"/>
    <w:rsid w:val="00C445A8"/>
    <w:rsid w:val="00C46D25"/>
    <w:rsid w:val="00C47202"/>
    <w:rsid w:val="00C50F97"/>
    <w:rsid w:val="00C51440"/>
    <w:rsid w:val="00C51B76"/>
    <w:rsid w:val="00C6087F"/>
    <w:rsid w:val="00C67BA2"/>
    <w:rsid w:val="00C70F65"/>
    <w:rsid w:val="00C75DFD"/>
    <w:rsid w:val="00C81B9E"/>
    <w:rsid w:val="00C8495D"/>
    <w:rsid w:val="00C90D5C"/>
    <w:rsid w:val="00C91FCB"/>
    <w:rsid w:val="00C964A7"/>
    <w:rsid w:val="00CA010D"/>
    <w:rsid w:val="00CA195D"/>
    <w:rsid w:val="00CA3E26"/>
    <w:rsid w:val="00CA49A3"/>
    <w:rsid w:val="00CA5C5E"/>
    <w:rsid w:val="00CB4336"/>
    <w:rsid w:val="00CB7E25"/>
    <w:rsid w:val="00CC1249"/>
    <w:rsid w:val="00CC4E6A"/>
    <w:rsid w:val="00CC7972"/>
    <w:rsid w:val="00CD0420"/>
    <w:rsid w:val="00CE0019"/>
    <w:rsid w:val="00CE424B"/>
    <w:rsid w:val="00CE4D8D"/>
    <w:rsid w:val="00CE747C"/>
    <w:rsid w:val="00CF0F1E"/>
    <w:rsid w:val="00CF6C96"/>
    <w:rsid w:val="00D02DF6"/>
    <w:rsid w:val="00D063A4"/>
    <w:rsid w:val="00D0693A"/>
    <w:rsid w:val="00D20645"/>
    <w:rsid w:val="00D22E66"/>
    <w:rsid w:val="00D243B0"/>
    <w:rsid w:val="00D25AF6"/>
    <w:rsid w:val="00D261DC"/>
    <w:rsid w:val="00D31E10"/>
    <w:rsid w:val="00D34365"/>
    <w:rsid w:val="00D361D3"/>
    <w:rsid w:val="00D46C49"/>
    <w:rsid w:val="00D46E67"/>
    <w:rsid w:val="00D545F1"/>
    <w:rsid w:val="00D5509F"/>
    <w:rsid w:val="00D566C6"/>
    <w:rsid w:val="00D575DE"/>
    <w:rsid w:val="00D60738"/>
    <w:rsid w:val="00D60773"/>
    <w:rsid w:val="00D63110"/>
    <w:rsid w:val="00D631D5"/>
    <w:rsid w:val="00D64B1F"/>
    <w:rsid w:val="00D64C15"/>
    <w:rsid w:val="00D66CDC"/>
    <w:rsid w:val="00D67BA7"/>
    <w:rsid w:val="00D71963"/>
    <w:rsid w:val="00D7214A"/>
    <w:rsid w:val="00D81F14"/>
    <w:rsid w:val="00D846B9"/>
    <w:rsid w:val="00D91EB3"/>
    <w:rsid w:val="00D92729"/>
    <w:rsid w:val="00D93006"/>
    <w:rsid w:val="00D97A5F"/>
    <w:rsid w:val="00DA07D0"/>
    <w:rsid w:val="00DA2A96"/>
    <w:rsid w:val="00DA5665"/>
    <w:rsid w:val="00DA56DF"/>
    <w:rsid w:val="00DA5E68"/>
    <w:rsid w:val="00DB0609"/>
    <w:rsid w:val="00DB30FF"/>
    <w:rsid w:val="00DC0BD4"/>
    <w:rsid w:val="00DC2501"/>
    <w:rsid w:val="00DC26CA"/>
    <w:rsid w:val="00DC39A1"/>
    <w:rsid w:val="00DC629D"/>
    <w:rsid w:val="00DD08E6"/>
    <w:rsid w:val="00DD2D9E"/>
    <w:rsid w:val="00DD6B80"/>
    <w:rsid w:val="00DE32CC"/>
    <w:rsid w:val="00DE37CB"/>
    <w:rsid w:val="00DE5B37"/>
    <w:rsid w:val="00DE6B6F"/>
    <w:rsid w:val="00DE6E7D"/>
    <w:rsid w:val="00DF3FE9"/>
    <w:rsid w:val="00E00240"/>
    <w:rsid w:val="00E02B82"/>
    <w:rsid w:val="00E05A4F"/>
    <w:rsid w:val="00E10661"/>
    <w:rsid w:val="00E128B1"/>
    <w:rsid w:val="00E15B8B"/>
    <w:rsid w:val="00E226AE"/>
    <w:rsid w:val="00E234D0"/>
    <w:rsid w:val="00E245E5"/>
    <w:rsid w:val="00E24E6E"/>
    <w:rsid w:val="00E261F4"/>
    <w:rsid w:val="00E2787C"/>
    <w:rsid w:val="00E30930"/>
    <w:rsid w:val="00E32479"/>
    <w:rsid w:val="00E32C07"/>
    <w:rsid w:val="00E33901"/>
    <w:rsid w:val="00E345C7"/>
    <w:rsid w:val="00E403E6"/>
    <w:rsid w:val="00E406CD"/>
    <w:rsid w:val="00E5617D"/>
    <w:rsid w:val="00E56B23"/>
    <w:rsid w:val="00E57EA0"/>
    <w:rsid w:val="00E6249A"/>
    <w:rsid w:val="00E63E52"/>
    <w:rsid w:val="00E72B9D"/>
    <w:rsid w:val="00E82776"/>
    <w:rsid w:val="00E83A3B"/>
    <w:rsid w:val="00E92245"/>
    <w:rsid w:val="00E92DC8"/>
    <w:rsid w:val="00E94816"/>
    <w:rsid w:val="00E95002"/>
    <w:rsid w:val="00E95A82"/>
    <w:rsid w:val="00EA1302"/>
    <w:rsid w:val="00EA15D8"/>
    <w:rsid w:val="00EA61D5"/>
    <w:rsid w:val="00EB5ECD"/>
    <w:rsid w:val="00EB673F"/>
    <w:rsid w:val="00EC03EB"/>
    <w:rsid w:val="00ED313D"/>
    <w:rsid w:val="00EE1226"/>
    <w:rsid w:val="00EE28F0"/>
    <w:rsid w:val="00EE3944"/>
    <w:rsid w:val="00EF2AF4"/>
    <w:rsid w:val="00EF6041"/>
    <w:rsid w:val="00F00520"/>
    <w:rsid w:val="00F02C48"/>
    <w:rsid w:val="00F03C2A"/>
    <w:rsid w:val="00F051F9"/>
    <w:rsid w:val="00F15C4B"/>
    <w:rsid w:val="00F22BCE"/>
    <w:rsid w:val="00F23675"/>
    <w:rsid w:val="00F2380B"/>
    <w:rsid w:val="00F2606D"/>
    <w:rsid w:val="00F271F0"/>
    <w:rsid w:val="00F32528"/>
    <w:rsid w:val="00F366E8"/>
    <w:rsid w:val="00F37FF6"/>
    <w:rsid w:val="00F41E8C"/>
    <w:rsid w:val="00F45321"/>
    <w:rsid w:val="00F61310"/>
    <w:rsid w:val="00F74391"/>
    <w:rsid w:val="00F745C2"/>
    <w:rsid w:val="00F77EB9"/>
    <w:rsid w:val="00F90FF1"/>
    <w:rsid w:val="00F9140F"/>
    <w:rsid w:val="00F97256"/>
    <w:rsid w:val="00FA152A"/>
    <w:rsid w:val="00FA1541"/>
    <w:rsid w:val="00FA2188"/>
    <w:rsid w:val="00FA234C"/>
    <w:rsid w:val="00FB2172"/>
    <w:rsid w:val="00FB6C4D"/>
    <w:rsid w:val="00FD1FB1"/>
    <w:rsid w:val="00FD2960"/>
    <w:rsid w:val="00FD5D05"/>
    <w:rsid w:val="00FE054E"/>
    <w:rsid w:val="00FE2047"/>
    <w:rsid w:val="00FE6701"/>
    <w:rsid w:val="00FF52B4"/>
    <w:rsid w:val="00FF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31496"/>
  <w15:docId w15:val="{AF0DD516-FE0B-4FB9-806B-B2715970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Cs/>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137B7D"/>
    <w:pPr>
      <w:keepNext/>
      <w:keepLines/>
      <w:spacing w:after="240"/>
      <w:jc w:val="center"/>
      <w:outlineLvl w:val="0"/>
    </w:pPr>
    <w:rPr>
      <w:b/>
      <w:bCs w:val="0"/>
      <w:color w:val="000000"/>
    </w:rPr>
  </w:style>
  <w:style w:type="paragraph" w:styleId="Heading2">
    <w:name w:val="heading 2"/>
    <w:uiPriority w:val="9"/>
    <w:unhideWhenUsed/>
    <w:qFormat/>
    <w:rsid w:val="00493DDB"/>
    <w:pPr>
      <w:keepNext/>
      <w:keepLines/>
      <w:spacing w:before="240" w:after="120"/>
      <w:outlineLvl w:val="1"/>
    </w:pPr>
    <w:rPr>
      <w:b/>
      <w:bCs w:val="0"/>
      <w:color w:val="000000"/>
    </w:rPr>
  </w:style>
  <w:style w:type="paragraph" w:styleId="Heading3">
    <w:name w:val="heading 3"/>
    <w:uiPriority w:val="9"/>
    <w:unhideWhenUsed/>
    <w:qFormat/>
    <w:rsid w:val="003C4611"/>
    <w:pPr>
      <w:keepNext/>
      <w:keepLines/>
      <w:spacing w:before="200" w:after="100"/>
      <w:outlineLvl w:val="2"/>
    </w:pPr>
    <w:rPr>
      <w:b/>
      <w:bCs w:val="0"/>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val="0"/>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style>
  <w:style w:type="paragraph" w:customStyle="1" w:styleId="FigCap">
    <w:name w:val="FigCap"/>
    <w:qFormat/>
    <w:rsid w:val="00707631"/>
    <w:pPr>
      <w:keepLines/>
      <w:jc w:val="center"/>
    </w:pPr>
    <w:rPr>
      <w:bCs w:val="0"/>
      <w:i/>
    </w:rPr>
  </w:style>
  <w:style w:type="paragraph" w:customStyle="1" w:styleId="TblCap">
    <w:name w:val="TblCap"/>
    <w:qFormat/>
    <w:rsid w:val="006B4558"/>
    <w:pPr>
      <w:keepLines/>
      <w:jc w:val="right"/>
    </w:pPr>
    <w:rPr>
      <w:bCs w:val="0"/>
      <w:i/>
    </w:rPr>
  </w:style>
  <w:style w:type="paragraph" w:styleId="Header">
    <w:name w:val="header"/>
    <w:basedOn w:val="Normal"/>
    <w:link w:val="HeaderChar"/>
    <w:uiPriority w:val="99"/>
    <w:unhideWhenUsed/>
    <w:rsid w:val="00025AF7"/>
    <w:pPr>
      <w:tabs>
        <w:tab w:val="center" w:pos="4680"/>
        <w:tab w:val="right" w:pos="9360"/>
      </w:tabs>
      <w:spacing w:line="240" w:lineRule="auto"/>
    </w:pPr>
  </w:style>
  <w:style w:type="character" w:customStyle="1" w:styleId="HeaderChar">
    <w:name w:val="Header Char"/>
    <w:basedOn w:val="DefaultParagraphFont"/>
    <w:link w:val="Header"/>
    <w:uiPriority w:val="99"/>
    <w:rsid w:val="00025AF7"/>
  </w:style>
  <w:style w:type="paragraph" w:styleId="Footer">
    <w:name w:val="footer"/>
    <w:basedOn w:val="Normal"/>
    <w:link w:val="FooterChar"/>
    <w:uiPriority w:val="99"/>
    <w:unhideWhenUsed/>
    <w:rsid w:val="00025AF7"/>
    <w:pPr>
      <w:tabs>
        <w:tab w:val="center" w:pos="4680"/>
        <w:tab w:val="right" w:pos="9360"/>
      </w:tabs>
      <w:spacing w:line="240" w:lineRule="auto"/>
    </w:pPr>
  </w:style>
  <w:style w:type="character" w:customStyle="1" w:styleId="FooterChar">
    <w:name w:val="Footer Char"/>
    <w:basedOn w:val="DefaultParagraphFont"/>
    <w:link w:val="Footer"/>
    <w:uiPriority w:val="99"/>
    <w:rsid w:val="00025AF7"/>
  </w:style>
  <w:style w:type="paragraph" w:customStyle="1" w:styleId="pdq2pgselectionanchorcontainer">
    <w:name w:val="pdq2pg_selectionanchorcontainer"/>
    <w:basedOn w:val="Normal"/>
    <w:rsid w:val="009C47EF"/>
    <w:pPr>
      <w:spacing w:before="100" w:beforeAutospacing="1" w:after="100" w:afterAutospacing="1" w:line="240" w:lineRule="auto"/>
    </w:pPr>
  </w:style>
  <w:style w:type="character" w:styleId="Strong">
    <w:name w:val="Strong"/>
    <w:basedOn w:val="DefaultParagraphFont"/>
    <w:uiPriority w:val="22"/>
    <w:qFormat/>
    <w:rsid w:val="009C47EF"/>
    <w:rPr>
      <w:b/>
      <w:bCs w:val="0"/>
    </w:rPr>
  </w:style>
  <w:style w:type="paragraph" w:styleId="NormalWeb">
    <w:name w:val="Normal (Web)"/>
    <w:basedOn w:val="Normal"/>
    <w:uiPriority w:val="99"/>
    <w:semiHidden/>
    <w:unhideWhenUsed/>
    <w:rsid w:val="009C47EF"/>
    <w:pPr>
      <w:spacing w:before="100" w:beforeAutospacing="1" w:after="100" w:afterAutospacing="1" w:line="240" w:lineRule="auto"/>
    </w:pPr>
  </w:style>
  <w:style w:type="paragraph" w:styleId="TOC1">
    <w:name w:val="toc 1"/>
    <w:basedOn w:val="Normal"/>
    <w:next w:val="Normal"/>
    <w:autoRedefine/>
    <w:uiPriority w:val="39"/>
    <w:unhideWhenUsed/>
    <w:rsid w:val="00D261DC"/>
    <w:pPr>
      <w:tabs>
        <w:tab w:val="right" w:leader="dot" w:pos="9061"/>
      </w:tabs>
      <w:spacing w:after="100" w:line="336" w:lineRule="auto"/>
    </w:pPr>
    <w:rPr>
      <w:rFonts w:ascii="Times New Roman Bold" w:hAnsi="Times New Roman Bold"/>
      <w:b/>
      <w:bCs w:val="0"/>
      <w:noProof/>
    </w:rPr>
  </w:style>
  <w:style w:type="paragraph" w:styleId="TOC2">
    <w:name w:val="toc 2"/>
    <w:basedOn w:val="Normal"/>
    <w:next w:val="Normal"/>
    <w:autoRedefine/>
    <w:uiPriority w:val="39"/>
    <w:unhideWhenUsed/>
    <w:rsid w:val="00FF52B4"/>
    <w:pPr>
      <w:spacing w:after="100"/>
      <w:ind w:left="260"/>
    </w:pPr>
  </w:style>
  <w:style w:type="paragraph" w:styleId="TOC3">
    <w:name w:val="toc 3"/>
    <w:basedOn w:val="Normal"/>
    <w:next w:val="Normal"/>
    <w:autoRedefine/>
    <w:uiPriority w:val="39"/>
    <w:unhideWhenUsed/>
    <w:rsid w:val="00C81B9E"/>
    <w:pPr>
      <w:tabs>
        <w:tab w:val="right" w:leader="dot" w:pos="9061"/>
      </w:tabs>
      <w:spacing w:after="100"/>
      <w:ind w:left="520"/>
    </w:pPr>
    <w:rPr>
      <w:noProof/>
      <w:spacing w:val="-8"/>
    </w:rPr>
  </w:style>
  <w:style w:type="character" w:styleId="UnresolvedMention">
    <w:name w:val="Unresolved Mention"/>
    <w:basedOn w:val="DefaultParagraphFont"/>
    <w:uiPriority w:val="99"/>
    <w:semiHidden/>
    <w:unhideWhenUsed/>
    <w:rsid w:val="00F271F0"/>
    <w:rPr>
      <w:color w:val="605E5C"/>
      <w:shd w:val="clear" w:color="auto" w:fill="E1DFDD"/>
    </w:rPr>
  </w:style>
  <w:style w:type="paragraph" w:customStyle="1" w:styleId="Hnh">
    <w:name w:val="Hình"/>
    <w:basedOn w:val="Normal"/>
    <w:rsid w:val="00DC2501"/>
    <w:pPr>
      <w:spacing w:after="160"/>
      <w:jc w:val="center"/>
    </w:pPr>
    <w:rPr>
      <w:bCs w:val="0"/>
      <w:i/>
    </w:rPr>
  </w:style>
  <w:style w:type="table" w:styleId="TableGrid">
    <w:name w:val="Table Grid"/>
    <w:basedOn w:val="TableNormal"/>
    <w:uiPriority w:val="39"/>
    <w:rsid w:val="0061454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67BA2"/>
    <w:rPr>
      <w:rFonts w:ascii="Courier New" w:eastAsia="Times New Roman" w:hAnsi="Courier New" w:cs="Courier New"/>
      <w:sz w:val="20"/>
      <w:szCs w:val="20"/>
    </w:rPr>
  </w:style>
  <w:style w:type="character" w:styleId="PlaceholderText">
    <w:name w:val="Placeholder Text"/>
    <w:basedOn w:val="DefaultParagraphFont"/>
    <w:uiPriority w:val="99"/>
    <w:semiHidden/>
    <w:rsid w:val="00F02C48"/>
    <w:rPr>
      <w:color w:val="808080"/>
    </w:rPr>
  </w:style>
  <w:style w:type="character" w:customStyle="1" w:styleId="katex">
    <w:name w:val="katex"/>
    <w:basedOn w:val="DefaultParagraphFont"/>
    <w:rsid w:val="00001B9A"/>
  </w:style>
  <w:style w:type="character" w:customStyle="1" w:styleId="Heading1Char">
    <w:name w:val="Heading 1 Char"/>
    <w:basedOn w:val="DefaultParagraphFont"/>
    <w:link w:val="Heading1"/>
    <w:uiPriority w:val="9"/>
    <w:rsid w:val="001970E1"/>
    <w:rPr>
      <w:b/>
      <w:bCs w:val="0"/>
      <w:color w:val="000000"/>
    </w:rPr>
  </w:style>
  <w:style w:type="numbering" w:customStyle="1" w:styleId="NoList1">
    <w:name w:val="No List1"/>
    <w:next w:val="NoList"/>
    <w:uiPriority w:val="99"/>
    <w:semiHidden/>
    <w:unhideWhenUsed/>
    <w:rsid w:val="005B07F5"/>
  </w:style>
  <w:style w:type="table" w:customStyle="1" w:styleId="TableGrid1">
    <w:name w:val="Table Grid1"/>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B07F5"/>
  </w:style>
  <w:style w:type="table" w:customStyle="1" w:styleId="TableGrid2">
    <w:name w:val="Table Grid2"/>
    <w:basedOn w:val="TableNormal"/>
    <w:next w:val="TableGrid"/>
    <w:uiPriority w:val="39"/>
    <w:rsid w:val="005B07F5"/>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964A7"/>
  </w:style>
  <w:style w:type="table" w:customStyle="1" w:styleId="TableGrid3">
    <w:name w:val="Table Grid3"/>
    <w:basedOn w:val="TableNormal"/>
    <w:next w:val="TableGrid"/>
    <w:uiPriority w:val="39"/>
    <w:rsid w:val="00C964A7"/>
    <w:pPr>
      <w:spacing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4AF4"/>
    <w:rPr>
      <w:sz w:val="16"/>
      <w:szCs w:val="16"/>
    </w:rPr>
  </w:style>
  <w:style w:type="paragraph" w:styleId="CommentText">
    <w:name w:val="annotation text"/>
    <w:basedOn w:val="Normal"/>
    <w:link w:val="CommentTextChar"/>
    <w:uiPriority w:val="99"/>
    <w:semiHidden/>
    <w:unhideWhenUsed/>
    <w:rsid w:val="00784AF4"/>
    <w:pPr>
      <w:spacing w:line="240" w:lineRule="auto"/>
    </w:pPr>
    <w:rPr>
      <w:sz w:val="20"/>
      <w:szCs w:val="20"/>
    </w:rPr>
  </w:style>
  <w:style w:type="character" w:customStyle="1" w:styleId="CommentTextChar">
    <w:name w:val="Comment Text Char"/>
    <w:basedOn w:val="DefaultParagraphFont"/>
    <w:link w:val="CommentText"/>
    <w:uiPriority w:val="99"/>
    <w:semiHidden/>
    <w:rsid w:val="00784AF4"/>
    <w:rPr>
      <w:sz w:val="20"/>
      <w:szCs w:val="20"/>
    </w:rPr>
  </w:style>
  <w:style w:type="paragraph" w:styleId="CommentSubject">
    <w:name w:val="annotation subject"/>
    <w:basedOn w:val="CommentText"/>
    <w:next w:val="CommentText"/>
    <w:link w:val="CommentSubjectChar"/>
    <w:uiPriority w:val="99"/>
    <w:semiHidden/>
    <w:unhideWhenUsed/>
    <w:rsid w:val="00784AF4"/>
    <w:rPr>
      <w:b/>
    </w:rPr>
  </w:style>
  <w:style w:type="character" w:customStyle="1" w:styleId="CommentSubjectChar">
    <w:name w:val="Comment Subject Char"/>
    <w:basedOn w:val="CommentTextChar"/>
    <w:link w:val="CommentSubject"/>
    <w:uiPriority w:val="99"/>
    <w:semiHidden/>
    <w:rsid w:val="00784A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735">
      <w:bodyDiv w:val="1"/>
      <w:marLeft w:val="0"/>
      <w:marRight w:val="0"/>
      <w:marTop w:val="0"/>
      <w:marBottom w:val="0"/>
      <w:divBdr>
        <w:top w:val="none" w:sz="0" w:space="0" w:color="auto"/>
        <w:left w:val="none" w:sz="0" w:space="0" w:color="auto"/>
        <w:bottom w:val="none" w:sz="0" w:space="0" w:color="auto"/>
        <w:right w:val="none" w:sz="0" w:space="0" w:color="auto"/>
      </w:divBdr>
    </w:div>
    <w:div w:id="68624206">
      <w:bodyDiv w:val="1"/>
      <w:marLeft w:val="0"/>
      <w:marRight w:val="0"/>
      <w:marTop w:val="0"/>
      <w:marBottom w:val="0"/>
      <w:divBdr>
        <w:top w:val="none" w:sz="0" w:space="0" w:color="auto"/>
        <w:left w:val="none" w:sz="0" w:space="0" w:color="auto"/>
        <w:bottom w:val="none" w:sz="0" w:space="0" w:color="auto"/>
        <w:right w:val="none" w:sz="0" w:space="0" w:color="auto"/>
      </w:divBdr>
    </w:div>
    <w:div w:id="93862517">
      <w:bodyDiv w:val="1"/>
      <w:marLeft w:val="0"/>
      <w:marRight w:val="0"/>
      <w:marTop w:val="0"/>
      <w:marBottom w:val="0"/>
      <w:divBdr>
        <w:top w:val="none" w:sz="0" w:space="0" w:color="auto"/>
        <w:left w:val="none" w:sz="0" w:space="0" w:color="auto"/>
        <w:bottom w:val="none" w:sz="0" w:space="0" w:color="auto"/>
        <w:right w:val="none" w:sz="0" w:space="0" w:color="auto"/>
      </w:divBdr>
    </w:div>
    <w:div w:id="93979609">
      <w:bodyDiv w:val="1"/>
      <w:marLeft w:val="0"/>
      <w:marRight w:val="0"/>
      <w:marTop w:val="0"/>
      <w:marBottom w:val="0"/>
      <w:divBdr>
        <w:top w:val="none" w:sz="0" w:space="0" w:color="auto"/>
        <w:left w:val="none" w:sz="0" w:space="0" w:color="auto"/>
        <w:bottom w:val="none" w:sz="0" w:space="0" w:color="auto"/>
        <w:right w:val="none" w:sz="0" w:space="0" w:color="auto"/>
      </w:divBdr>
    </w:div>
    <w:div w:id="114754974">
      <w:bodyDiv w:val="1"/>
      <w:marLeft w:val="0"/>
      <w:marRight w:val="0"/>
      <w:marTop w:val="0"/>
      <w:marBottom w:val="0"/>
      <w:divBdr>
        <w:top w:val="none" w:sz="0" w:space="0" w:color="auto"/>
        <w:left w:val="none" w:sz="0" w:space="0" w:color="auto"/>
        <w:bottom w:val="none" w:sz="0" w:space="0" w:color="auto"/>
        <w:right w:val="none" w:sz="0" w:space="0" w:color="auto"/>
      </w:divBdr>
    </w:div>
    <w:div w:id="126894427">
      <w:bodyDiv w:val="1"/>
      <w:marLeft w:val="0"/>
      <w:marRight w:val="0"/>
      <w:marTop w:val="0"/>
      <w:marBottom w:val="0"/>
      <w:divBdr>
        <w:top w:val="none" w:sz="0" w:space="0" w:color="auto"/>
        <w:left w:val="none" w:sz="0" w:space="0" w:color="auto"/>
        <w:bottom w:val="none" w:sz="0" w:space="0" w:color="auto"/>
        <w:right w:val="none" w:sz="0" w:space="0" w:color="auto"/>
      </w:divBdr>
    </w:div>
    <w:div w:id="127209799">
      <w:bodyDiv w:val="1"/>
      <w:marLeft w:val="0"/>
      <w:marRight w:val="0"/>
      <w:marTop w:val="0"/>
      <w:marBottom w:val="0"/>
      <w:divBdr>
        <w:top w:val="none" w:sz="0" w:space="0" w:color="auto"/>
        <w:left w:val="none" w:sz="0" w:space="0" w:color="auto"/>
        <w:bottom w:val="none" w:sz="0" w:space="0" w:color="auto"/>
        <w:right w:val="none" w:sz="0" w:space="0" w:color="auto"/>
      </w:divBdr>
      <w:divsChild>
        <w:div w:id="776486906">
          <w:marLeft w:val="0"/>
          <w:marRight w:val="0"/>
          <w:marTop w:val="0"/>
          <w:marBottom w:val="0"/>
          <w:divBdr>
            <w:top w:val="none" w:sz="0" w:space="0" w:color="auto"/>
            <w:left w:val="none" w:sz="0" w:space="0" w:color="auto"/>
            <w:bottom w:val="none" w:sz="0" w:space="0" w:color="auto"/>
            <w:right w:val="none" w:sz="0" w:space="0" w:color="auto"/>
          </w:divBdr>
          <w:divsChild>
            <w:div w:id="1349791405">
              <w:marLeft w:val="0"/>
              <w:marRight w:val="0"/>
              <w:marTop w:val="0"/>
              <w:marBottom w:val="0"/>
              <w:divBdr>
                <w:top w:val="none" w:sz="0" w:space="0" w:color="auto"/>
                <w:left w:val="none" w:sz="0" w:space="0" w:color="auto"/>
                <w:bottom w:val="none" w:sz="0" w:space="0" w:color="auto"/>
                <w:right w:val="none" w:sz="0" w:space="0" w:color="auto"/>
              </w:divBdr>
              <w:divsChild>
                <w:div w:id="1772045756">
                  <w:marLeft w:val="0"/>
                  <w:marRight w:val="0"/>
                  <w:marTop w:val="0"/>
                  <w:marBottom w:val="0"/>
                  <w:divBdr>
                    <w:top w:val="none" w:sz="0" w:space="0" w:color="auto"/>
                    <w:left w:val="none" w:sz="0" w:space="0" w:color="auto"/>
                    <w:bottom w:val="none" w:sz="0" w:space="0" w:color="auto"/>
                    <w:right w:val="none" w:sz="0" w:space="0" w:color="auto"/>
                  </w:divBdr>
                  <w:divsChild>
                    <w:div w:id="1279146955">
                      <w:marLeft w:val="0"/>
                      <w:marRight w:val="0"/>
                      <w:marTop w:val="0"/>
                      <w:marBottom w:val="0"/>
                      <w:divBdr>
                        <w:top w:val="none" w:sz="0" w:space="0" w:color="auto"/>
                        <w:left w:val="none" w:sz="0" w:space="0" w:color="auto"/>
                        <w:bottom w:val="none" w:sz="0" w:space="0" w:color="auto"/>
                        <w:right w:val="none" w:sz="0" w:space="0" w:color="auto"/>
                      </w:divBdr>
                      <w:divsChild>
                        <w:div w:id="1155492516">
                          <w:marLeft w:val="0"/>
                          <w:marRight w:val="0"/>
                          <w:marTop w:val="0"/>
                          <w:marBottom w:val="0"/>
                          <w:divBdr>
                            <w:top w:val="none" w:sz="0" w:space="0" w:color="auto"/>
                            <w:left w:val="none" w:sz="0" w:space="0" w:color="auto"/>
                            <w:bottom w:val="none" w:sz="0" w:space="0" w:color="auto"/>
                            <w:right w:val="none" w:sz="0" w:space="0" w:color="auto"/>
                          </w:divBdr>
                          <w:divsChild>
                            <w:div w:id="2143424508">
                              <w:marLeft w:val="0"/>
                              <w:marRight w:val="0"/>
                              <w:marTop w:val="0"/>
                              <w:marBottom w:val="0"/>
                              <w:divBdr>
                                <w:top w:val="none" w:sz="0" w:space="0" w:color="auto"/>
                                <w:left w:val="none" w:sz="0" w:space="0" w:color="auto"/>
                                <w:bottom w:val="none" w:sz="0" w:space="0" w:color="auto"/>
                                <w:right w:val="none" w:sz="0" w:space="0" w:color="auto"/>
                              </w:divBdr>
                              <w:divsChild>
                                <w:div w:id="2146503013">
                                  <w:marLeft w:val="0"/>
                                  <w:marRight w:val="0"/>
                                  <w:marTop w:val="0"/>
                                  <w:marBottom w:val="0"/>
                                  <w:divBdr>
                                    <w:top w:val="none" w:sz="0" w:space="0" w:color="auto"/>
                                    <w:left w:val="none" w:sz="0" w:space="0" w:color="auto"/>
                                    <w:bottom w:val="none" w:sz="0" w:space="0" w:color="auto"/>
                                    <w:right w:val="none" w:sz="0" w:space="0" w:color="auto"/>
                                  </w:divBdr>
                                  <w:divsChild>
                                    <w:div w:id="276957862">
                                      <w:marLeft w:val="0"/>
                                      <w:marRight w:val="0"/>
                                      <w:marTop w:val="0"/>
                                      <w:marBottom w:val="0"/>
                                      <w:divBdr>
                                        <w:top w:val="none" w:sz="0" w:space="0" w:color="auto"/>
                                        <w:left w:val="none" w:sz="0" w:space="0" w:color="auto"/>
                                        <w:bottom w:val="none" w:sz="0" w:space="0" w:color="auto"/>
                                        <w:right w:val="none" w:sz="0" w:space="0" w:color="auto"/>
                                      </w:divBdr>
                                      <w:divsChild>
                                        <w:div w:id="1243643002">
                                          <w:marLeft w:val="0"/>
                                          <w:marRight w:val="0"/>
                                          <w:marTop w:val="0"/>
                                          <w:marBottom w:val="0"/>
                                          <w:divBdr>
                                            <w:top w:val="none" w:sz="0" w:space="0" w:color="auto"/>
                                            <w:left w:val="none" w:sz="0" w:space="0" w:color="auto"/>
                                            <w:bottom w:val="none" w:sz="0" w:space="0" w:color="auto"/>
                                            <w:right w:val="none" w:sz="0" w:space="0" w:color="auto"/>
                                          </w:divBdr>
                                          <w:divsChild>
                                            <w:div w:id="23361716">
                                              <w:marLeft w:val="0"/>
                                              <w:marRight w:val="0"/>
                                              <w:marTop w:val="0"/>
                                              <w:marBottom w:val="0"/>
                                              <w:divBdr>
                                                <w:top w:val="none" w:sz="0" w:space="0" w:color="auto"/>
                                                <w:left w:val="none" w:sz="0" w:space="0" w:color="auto"/>
                                                <w:bottom w:val="none" w:sz="0" w:space="0" w:color="auto"/>
                                                <w:right w:val="none" w:sz="0" w:space="0" w:color="auto"/>
                                              </w:divBdr>
                                              <w:divsChild>
                                                <w:div w:id="1592618635">
                                                  <w:marLeft w:val="0"/>
                                                  <w:marRight w:val="0"/>
                                                  <w:marTop w:val="0"/>
                                                  <w:marBottom w:val="0"/>
                                                  <w:divBdr>
                                                    <w:top w:val="none" w:sz="0" w:space="0" w:color="auto"/>
                                                    <w:left w:val="none" w:sz="0" w:space="0" w:color="auto"/>
                                                    <w:bottom w:val="none" w:sz="0" w:space="0" w:color="auto"/>
                                                    <w:right w:val="none" w:sz="0" w:space="0" w:color="auto"/>
                                                  </w:divBdr>
                                                  <w:divsChild>
                                                    <w:div w:id="2053269360">
                                                      <w:marLeft w:val="0"/>
                                                      <w:marRight w:val="0"/>
                                                      <w:marTop w:val="0"/>
                                                      <w:marBottom w:val="0"/>
                                                      <w:divBdr>
                                                        <w:top w:val="none" w:sz="0" w:space="0" w:color="auto"/>
                                                        <w:left w:val="none" w:sz="0" w:space="0" w:color="auto"/>
                                                        <w:bottom w:val="none" w:sz="0" w:space="0" w:color="auto"/>
                                                        <w:right w:val="none" w:sz="0" w:space="0" w:color="auto"/>
                                                      </w:divBdr>
                                                      <w:divsChild>
                                                        <w:div w:id="20453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70130">
      <w:bodyDiv w:val="1"/>
      <w:marLeft w:val="0"/>
      <w:marRight w:val="0"/>
      <w:marTop w:val="0"/>
      <w:marBottom w:val="0"/>
      <w:divBdr>
        <w:top w:val="none" w:sz="0" w:space="0" w:color="auto"/>
        <w:left w:val="none" w:sz="0" w:space="0" w:color="auto"/>
        <w:bottom w:val="none" w:sz="0" w:space="0" w:color="auto"/>
        <w:right w:val="none" w:sz="0" w:space="0" w:color="auto"/>
      </w:divBdr>
    </w:div>
    <w:div w:id="152449798">
      <w:bodyDiv w:val="1"/>
      <w:marLeft w:val="0"/>
      <w:marRight w:val="0"/>
      <w:marTop w:val="0"/>
      <w:marBottom w:val="0"/>
      <w:divBdr>
        <w:top w:val="none" w:sz="0" w:space="0" w:color="auto"/>
        <w:left w:val="none" w:sz="0" w:space="0" w:color="auto"/>
        <w:bottom w:val="none" w:sz="0" w:space="0" w:color="auto"/>
        <w:right w:val="none" w:sz="0" w:space="0" w:color="auto"/>
      </w:divBdr>
    </w:div>
    <w:div w:id="184901343">
      <w:bodyDiv w:val="1"/>
      <w:marLeft w:val="0"/>
      <w:marRight w:val="0"/>
      <w:marTop w:val="0"/>
      <w:marBottom w:val="0"/>
      <w:divBdr>
        <w:top w:val="none" w:sz="0" w:space="0" w:color="auto"/>
        <w:left w:val="none" w:sz="0" w:space="0" w:color="auto"/>
        <w:bottom w:val="none" w:sz="0" w:space="0" w:color="auto"/>
        <w:right w:val="none" w:sz="0" w:space="0" w:color="auto"/>
      </w:divBdr>
    </w:div>
    <w:div w:id="242497676">
      <w:bodyDiv w:val="1"/>
      <w:marLeft w:val="0"/>
      <w:marRight w:val="0"/>
      <w:marTop w:val="0"/>
      <w:marBottom w:val="0"/>
      <w:divBdr>
        <w:top w:val="none" w:sz="0" w:space="0" w:color="auto"/>
        <w:left w:val="none" w:sz="0" w:space="0" w:color="auto"/>
        <w:bottom w:val="none" w:sz="0" w:space="0" w:color="auto"/>
        <w:right w:val="none" w:sz="0" w:space="0" w:color="auto"/>
      </w:divBdr>
    </w:div>
    <w:div w:id="273756720">
      <w:bodyDiv w:val="1"/>
      <w:marLeft w:val="0"/>
      <w:marRight w:val="0"/>
      <w:marTop w:val="0"/>
      <w:marBottom w:val="0"/>
      <w:divBdr>
        <w:top w:val="none" w:sz="0" w:space="0" w:color="auto"/>
        <w:left w:val="none" w:sz="0" w:space="0" w:color="auto"/>
        <w:bottom w:val="none" w:sz="0" w:space="0" w:color="auto"/>
        <w:right w:val="none" w:sz="0" w:space="0" w:color="auto"/>
      </w:divBdr>
    </w:div>
    <w:div w:id="308443892">
      <w:bodyDiv w:val="1"/>
      <w:marLeft w:val="0"/>
      <w:marRight w:val="0"/>
      <w:marTop w:val="0"/>
      <w:marBottom w:val="0"/>
      <w:divBdr>
        <w:top w:val="none" w:sz="0" w:space="0" w:color="auto"/>
        <w:left w:val="none" w:sz="0" w:space="0" w:color="auto"/>
        <w:bottom w:val="none" w:sz="0" w:space="0" w:color="auto"/>
        <w:right w:val="none" w:sz="0" w:space="0" w:color="auto"/>
      </w:divBdr>
    </w:div>
    <w:div w:id="365915310">
      <w:bodyDiv w:val="1"/>
      <w:marLeft w:val="0"/>
      <w:marRight w:val="0"/>
      <w:marTop w:val="0"/>
      <w:marBottom w:val="0"/>
      <w:divBdr>
        <w:top w:val="none" w:sz="0" w:space="0" w:color="auto"/>
        <w:left w:val="none" w:sz="0" w:space="0" w:color="auto"/>
        <w:bottom w:val="none" w:sz="0" w:space="0" w:color="auto"/>
        <w:right w:val="none" w:sz="0" w:space="0" w:color="auto"/>
      </w:divBdr>
    </w:div>
    <w:div w:id="405109269">
      <w:bodyDiv w:val="1"/>
      <w:marLeft w:val="0"/>
      <w:marRight w:val="0"/>
      <w:marTop w:val="0"/>
      <w:marBottom w:val="0"/>
      <w:divBdr>
        <w:top w:val="none" w:sz="0" w:space="0" w:color="auto"/>
        <w:left w:val="none" w:sz="0" w:space="0" w:color="auto"/>
        <w:bottom w:val="none" w:sz="0" w:space="0" w:color="auto"/>
        <w:right w:val="none" w:sz="0" w:space="0" w:color="auto"/>
      </w:divBdr>
    </w:div>
    <w:div w:id="448354185">
      <w:bodyDiv w:val="1"/>
      <w:marLeft w:val="0"/>
      <w:marRight w:val="0"/>
      <w:marTop w:val="0"/>
      <w:marBottom w:val="0"/>
      <w:divBdr>
        <w:top w:val="none" w:sz="0" w:space="0" w:color="auto"/>
        <w:left w:val="none" w:sz="0" w:space="0" w:color="auto"/>
        <w:bottom w:val="none" w:sz="0" w:space="0" w:color="auto"/>
        <w:right w:val="none" w:sz="0" w:space="0" w:color="auto"/>
      </w:divBdr>
    </w:div>
    <w:div w:id="453062459">
      <w:bodyDiv w:val="1"/>
      <w:marLeft w:val="0"/>
      <w:marRight w:val="0"/>
      <w:marTop w:val="0"/>
      <w:marBottom w:val="0"/>
      <w:divBdr>
        <w:top w:val="none" w:sz="0" w:space="0" w:color="auto"/>
        <w:left w:val="none" w:sz="0" w:space="0" w:color="auto"/>
        <w:bottom w:val="none" w:sz="0" w:space="0" w:color="auto"/>
        <w:right w:val="none" w:sz="0" w:space="0" w:color="auto"/>
      </w:divBdr>
    </w:div>
    <w:div w:id="508257045">
      <w:bodyDiv w:val="1"/>
      <w:marLeft w:val="0"/>
      <w:marRight w:val="0"/>
      <w:marTop w:val="0"/>
      <w:marBottom w:val="0"/>
      <w:divBdr>
        <w:top w:val="none" w:sz="0" w:space="0" w:color="auto"/>
        <w:left w:val="none" w:sz="0" w:space="0" w:color="auto"/>
        <w:bottom w:val="none" w:sz="0" w:space="0" w:color="auto"/>
        <w:right w:val="none" w:sz="0" w:space="0" w:color="auto"/>
      </w:divBdr>
    </w:div>
    <w:div w:id="626549510">
      <w:bodyDiv w:val="1"/>
      <w:marLeft w:val="0"/>
      <w:marRight w:val="0"/>
      <w:marTop w:val="0"/>
      <w:marBottom w:val="0"/>
      <w:divBdr>
        <w:top w:val="none" w:sz="0" w:space="0" w:color="auto"/>
        <w:left w:val="none" w:sz="0" w:space="0" w:color="auto"/>
        <w:bottom w:val="none" w:sz="0" w:space="0" w:color="auto"/>
        <w:right w:val="none" w:sz="0" w:space="0" w:color="auto"/>
      </w:divBdr>
    </w:div>
    <w:div w:id="638219784">
      <w:bodyDiv w:val="1"/>
      <w:marLeft w:val="0"/>
      <w:marRight w:val="0"/>
      <w:marTop w:val="0"/>
      <w:marBottom w:val="0"/>
      <w:divBdr>
        <w:top w:val="none" w:sz="0" w:space="0" w:color="auto"/>
        <w:left w:val="none" w:sz="0" w:space="0" w:color="auto"/>
        <w:bottom w:val="none" w:sz="0" w:space="0" w:color="auto"/>
        <w:right w:val="none" w:sz="0" w:space="0" w:color="auto"/>
      </w:divBdr>
      <w:divsChild>
        <w:div w:id="2114783520">
          <w:marLeft w:val="0"/>
          <w:marRight w:val="0"/>
          <w:marTop w:val="0"/>
          <w:marBottom w:val="0"/>
          <w:divBdr>
            <w:top w:val="none" w:sz="0" w:space="0" w:color="auto"/>
            <w:left w:val="none" w:sz="0" w:space="0" w:color="auto"/>
            <w:bottom w:val="none" w:sz="0" w:space="0" w:color="auto"/>
            <w:right w:val="none" w:sz="0" w:space="0" w:color="auto"/>
          </w:divBdr>
          <w:divsChild>
            <w:div w:id="985865458">
              <w:marLeft w:val="0"/>
              <w:marRight w:val="0"/>
              <w:marTop w:val="0"/>
              <w:marBottom w:val="0"/>
              <w:divBdr>
                <w:top w:val="none" w:sz="0" w:space="0" w:color="auto"/>
                <w:left w:val="none" w:sz="0" w:space="0" w:color="auto"/>
                <w:bottom w:val="none" w:sz="0" w:space="0" w:color="auto"/>
                <w:right w:val="none" w:sz="0" w:space="0" w:color="auto"/>
              </w:divBdr>
              <w:divsChild>
                <w:div w:id="1596790844">
                  <w:marLeft w:val="0"/>
                  <w:marRight w:val="0"/>
                  <w:marTop w:val="0"/>
                  <w:marBottom w:val="0"/>
                  <w:divBdr>
                    <w:top w:val="none" w:sz="0" w:space="0" w:color="auto"/>
                    <w:left w:val="none" w:sz="0" w:space="0" w:color="auto"/>
                    <w:bottom w:val="none" w:sz="0" w:space="0" w:color="auto"/>
                    <w:right w:val="none" w:sz="0" w:space="0" w:color="auto"/>
                  </w:divBdr>
                  <w:divsChild>
                    <w:div w:id="1826702977">
                      <w:marLeft w:val="0"/>
                      <w:marRight w:val="0"/>
                      <w:marTop w:val="0"/>
                      <w:marBottom w:val="0"/>
                      <w:divBdr>
                        <w:top w:val="none" w:sz="0" w:space="0" w:color="auto"/>
                        <w:left w:val="none" w:sz="0" w:space="0" w:color="auto"/>
                        <w:bottom w:val="none" w:sz="0" w:space="0" w:color="auto"/>
                        <w:right w:val="none" w:sz="0" w:space="0" w:color="auto"/>
                      </w:divBdr>
                      <w:divsChild>
                        <w:div w:id="1580404129">
                          <w:marLeft w:val="0"/>
                          <w:marRight w:val="0"/>
                          <w:marTop w:val="0"/>
                          <w:marBottom w:val="0"/>
                          <w:divBdr>
                            <w:top w:val="none" w:sz="0" w:space="0" w:color="auto"/>
                            <w:left w:val="none" w:sz="0" w:space="0" w:color="auto"/>
                            <w:bottom w:val="none" w:sz="0" w:space="0" w:color="auto"/>
                            <w:right w:val="none" w:sz="0" w:space="0" w:color="auto"/>
                          </w:divBdr>
                          <w:divsChild>
                            <w:div w:id="2066103116">
                              <w:marLeft w:val="0"/>
                              <w:marRight w:val="0"/>
                              <w:marTop w:val="0"/>
                              <w:marBottom w:val="0"/>
                              <w:divBdr>
                                <w:top w:val="none" w:sz="0" w:space="0" w:color="auto"/>
                                <w:left w:val="none" w:sz="0" w:space="0" w:color="auto"/>
                                <w:bottom w:val="none" w:sz="0" w:space="0" w:color="auto"/>
                                <w:right w:val="none" w:sz="0" w:space="0" w:color="auto"/>
                              </w:divBdr>
                              <w:divsChild>
                                <w:div w:id="1947618095">
                                  <w:marLeft w:val="0"/>
                                  <w:marRight w:val="0"/>
                                  <w:marTop w:val="0"/>
                                  <w:marBottom w:val="0"/>
                                  <w:divBdr>
                                    <w:top w:val="none" w:sz="0" w:space="0" w:color="auto"/>
                                    <w:left w:val="none" w:sz="0" w:space="0" w:color="auto"/>
                                    <w:bottom w:val="none" w:sz="0" w:space="0" w:color="auto"/>
                                    <w:right w:val="none" w:sz="0" w:space="0" w:color="auto"/>
                                  </w:divBdr>
                                  <w:divsChild>
                                    <w:div w:id="449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779008">
      <w:bodyDiv w:val="1"/>
      <w:marLeft w:val="0"/>
      <w:marRight w:val="0"/>
      <w:marTop w:val="0"/>
      <w:marBottom w:val="0"/>
      <w:divBdr>
        <w:top w:val="none" w:sz="0" w:space="0" w:color="auto"/>
        <w:left w:val="none" w:sz="0" w:space="0" w:color="auto"/>
        <w:bottom w:val="none" w:sz="0" w:space="0" w:color="auto"/>
        <w:right w:val="none" w:sz="0" w:space="0" w:color="auto"/>
      </w:divBdr>
    </w:div>
    <w:div w:id="651568410">
      <w:bodyDiv w:val="1"/>
      <w:marLeft w:val="0"/>
      <w:marRight w:val="0"/>
      <w:marTop w:val="0"/>
      <w:marBottom w:val="0"/>
      <w:divBdr>
        <w:top w:val="none" w:sz="0" w:space="0" w:color="auto"/>
        <w:left w:val="none" w:sz="0" w:space="0" w:color="auto"/>
        <w:bottom w:val="none" w:sz="0" w:space="0" w:color="auto"/>
        <w:right w:val="none" w:sz="0" w:space="0" w:color="auto"/>
      </w:divBdr>
    </w:div>
    <w:div w:id="734813565">
      <w:bodyDiv w:val="1"/>
      <w:marLeft w:val="0"/>
      <w:marRight w:val="0"/>
      <w:marTop w:val="0"/>
      <w:marBottom w:val="0"/>
      <w:divBdr>
        <w:top w:val="none" w:sz="0" w:space="0" w:color="auto"/>
        <w:left w:val="none" w:sz="0" w:space="0" w:color="auto"/>
        <w:bottom w:val="none" w:sz="0" w:space="0" w:color="auto"/>
        <w:right w:val="none" w:sz="0" w:space="0" w:color="auto"/>
      </w:divBdr>
    </w:div>
    <w:div w:id="798378756">
      <w:bodyDiv w:val="1"/>
      <w:marLeft w:val="0"/>
      <w:marRight w:val="0"/>
      <w:marTop w:val="0"/>
      <w:marBottom w:val="0"/>
      <w:divBdr>
        <w:top w:val="none" w:sz="0" w:space="0" w:color="auto"/>
        <w:left w:val="none" w:sz="0" w:space="0" w:color="auto"/>
        <w:bottom w:val="none" w:sz="0" w:space="0" w:color="auto"/>
        <w:right w:val="none" w:sz="0" w:space="0" w:color="auto"/>
      </w:divBdr>
      <w:divsChild>
        <w:div w:id="680350243">
          <w:marLeft w:val="0"/>
          <w:marRight w:val="0"/>
          <w:marTop w:val="0"/>
          <w:marBottom w:val="0"/>
          <w:divBdr>
            <w:top w:val="none" w:sz="0" w:space="0" w:color="auto"/>
            <w:left w:val="none" w:sz="0" w:space="0" w:color="auto"/>
            <w:bottom w:val="none" w:sz="0" w:space="0" w:color="auto"/>
            <w:right w:val="none" w:sz="0" w:space="0" w:color="auto"/>
          </w:divBdr>
          <w:divsChild>
            <w:div w:id="1987585044">
              <w:marLeft w:val="0"/>
              <w:marRight w:val="0"/>
              <w:marTop w:val="0"/>
              <w:marBottom w:val="0"/>
              <w:divBdr>
                <w:top w:val="none" w:sz="0" w:space="0" w:color="auto"/>
                <w:left w:val="none" w:sz="0" w:space="0" w:color="auto"/>
                <w:bottom w:val="none" w:sz="0" w:space="0" w:color="auto"/>
                <w:right w:val="none" w:sz="0" w:space="0" w:color="auto"/>
              </w:divBdr>
              <w:divsChild>
                <w:div w:id="1441029993">
                  <w:marLeft w:val="0"/>
                  <w:marRight w:val="0"/>
                  <w:marTop w:val="0"/>
                  <w:marBottom w:val="0"/>
                  <w:divBdr>
                    <w:top w:val="none" w:sz="0" w:space="0" w:color="auto"/>
                    <w:left w:val="none" w:sz="0" w:space="0" w:color="auto"/>
                    <w:bottom w:val="none" w:sz="0" w:space="0" w:color="auto"/>
                    <w:right w:val="none" w:sz="0" w:space="0" w:color="auto"/>
                  </w:divBdr>
                  <w:divsChild>
                    <w:div w:id="695810935">
                      <w:marLeft w:val="0"/>
                      <w:marRight w:val="0"/>
                      <w:marTop w:val="0"/>
                      <w:marBottom w:val="0"/>
                      <w:divBdr>
                        <w:top w:val="none" w:sz="0" w:space="0" w:color="auto"/>
                        <w:left w:val="none" w:sz="0" w:space="0" w:color="auto"/>
                        <w:bottom w:val="none" w:sz="0" w:space="0" w:color="auto"/>
                        <w:right w:val="none" w:sz="0" w:space="0" w:color="auto"/>
                      </w:divBdr>
                      <w:divsChild>
                        <w:div w:id="420300559">
                          <w:marLeft w:val="0"/>
                          <w:marRight w:val="0"/>
                          <w:marTop w:val="0"/>
                          <w:marBottom w:val="0"/>
                          <w:divBdr>
                            <w:top w:val="none" w:sz="0" w:space="0" w:color="auto"/>
                            <w:left w:val="none" w:sz="0" w:space="0" w:color="auto"/>
                            <w:bottom w:val="none" w:sz="0" w:space="0" w:color="auto"/>
                            <w:right w:val="none" w:sz="0" w:space="0" w:color="auto"/>
                          </w:divBdr>
                          <w:divsChild>
                            <w:div w:id="1308587290">
                              <w:marLeft w:val="0"/>
                              <w:marRight w:val="0"/>
                              <w:marTop w:val="0"/>
                              <w:marBottom w:val="0"/>
                              <w:divBdr>
                                <w:top w:val="none" w:sz="0" w:space="0" w:color="auto"/>
                                <w:left w:val="none" w:sz="0" w:space="0" w:color="auto"/>
                                <w:bottom w:val="none" w:sz="0" w:space="0" w:color="auto"/>
                                <w:right w:val="none" w:sz="0" w:space="0" w:color="auto"/>
                              </w:divBdr>
                              <w:divsChild>
                                <w:div w:id="1007555334">
                                  <w:marLeft w:val="0"/>
                                  <w:marRight w:val="0"/>
                                  <w:marTop w:val="0"/>
                                  <w:marBottom w:val="0"/>
                                  <w:divBdr>
                                    <w:top w:val="none" w:sz="0" w:space="0" w:color="auto"/>
                                    <w:left w:val="none" w:sz="0" w:space="0" w:color="auto"/>
                                    <w:bottom w:val="none" w:sz="0" w:space="0" w:color="auto"/>
                                    <w:right w:val="none" w:sz="0" w:space="0" w:color="auto"/>
                                  </w:divBdr>
                                  <w:divsChild>
                                    <w:div w:id="16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025726">
      <w:bodyDiv w:val="1"/>
      <w:marLeft w:val="0"/>
      <w:marRight w:val="0"/>
      <w:marTop w:val="0"/>
      <w:marBottom w:val="0"/>
      <w:divBdr>
        <w:top w:val="none" w:sz="0" w:space="0" w:color="auto"/>
        <w:left w:val="none" w:sz="0" w:space="0" w:color="auto"/>
        <w:bottom w:val="none" w:sz="0" w:space="0" w:color="auto"/>
        <w:right w:val="none" w:sz="0" w:space="0" w:color="auto"/>
      </w:divBdr>
    </w:div>
    <w:div w:id="836043860">
      <w:bodyDiv w:val="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65723406">
              <w:marLeft w:val="0"/>
              <w:marRight w:val="0"/>
              <w:marTop w:val="0"/>
              <w:marBottom w:val="0"/>
              <w:divBdr>
                <w:top w:val="none" w:sz="0" w:space="0" w:color="auto"/>
                <w:left w:val="none" w:sz="0" w:space="0" w:color="auto"/>
                <w:bottom w:val="none" w:sz="0" w:space="0" w:color="auto"/>
                <w:right w:val="none" w:sz="0" w:space="0" w:color="auto"/>
              </w:divBdr>
              <w:divsChild>
                <w:div w:id="558902489">
                  <w:marLeft w:val="0"/>
                  <w:marRight w:val="0"/>
                  <w:marTop w:val="0"/>
                  <w:marBottom w:val="0"/>
                  <w:divBdr>
                    <w:top w:val="none" w:sz="0" w:space="0" w:color="auto"/>
                    <w:left w:val="none" w:sz="0" w:space="0" w:color="auto"/>
                    <w:bottom w:val="none" w:sz="0" w:space="0" w:color="auto"/>
                    <w:right w:val="none" w:sz="0" w:space="0" w:color="auto"/>
                  </w:divBdr>
                  <w:divsChild>
                    <w:div w:id="1063915508">
                      <w:marLeft w:val="0"/>
                      <w:marRight w:val="0"/>
                      <w:marTop w:val="0"/>
                      <w:marBottom w:val="0"/>
                      <w:divBdr>
                        <w:top w:val="none" w:sz="0" w:space="0" w:color="auto"/>
                        <w:left w:val="none" w:sz="0" w:space="0" w:color="auto"/>
                        <w:bottom w:val="none" w:sz="0" w:space="0" w:color="auto"/>
                        <w:right w:val="none" w:sz="0" w:space="0" w:color="auto"/>
                      </w:divBdr>
                      <w:divsChild>
                        <w:div w:id="476263653">
                          <w:marLeft w:val="0"/>
                          <w:marRight w:val="0"/>
                          <w:marTop w:val="0"/>
                          <w:marBottom w:val="0"/>
                          <w:divBdr>
                            <w:top w:val="none" w:sz="0" w:space="0" w:color="auto"/>
                            <w:left w:val="none" w:sz="0" w:space="0" w:color="auto"/>
                            <w:bottom w:val="none" w:sz="0" w:space="0" w:color="auto"/>
                            <w:right w:val="none" w:sz="0" w:space="0" w:color="auto"/>
                          </w:divBdr>
                          <w:divsChild>
                            <w:div w:id="103620674">
                              <w:marLeft w:val="0"/>
                              <w:marRight w:val="0"/>
                              <w:marTop w:val="0"/>
                              <w:marBottom w:val="0"/>
                              <w:divBdr>
                                <w:top w:val="none" w:sz="0" w:space="0" w:color="auto"/>
                                <w:left w:val="none" w:sz="0" w:space="0" w:color="auto"/>
                                <w:bottom w:val="none" w:sz="0" w:space="0" w:color="auto"/>
                                <w:right w:val="none" w:sz="0" w:space="0" w:color="auto"/>
                              </w:divBdr>
                              <w:divsChild>
                                <w:div w:id="706874095">
                                  <w:marLeft w:val="0"/>
                                  <w:marRight w:val="0"/>
                                  <w:marTop w:val="0"/>
                                  <w:marBottom w:val="0"/>
                                  <w:divBdr>
                                    <w:top w:val="none" w:sz="0" w:space="0" w:color="auto"/>
                                    <w:left w:val="none" w:sz="0" w:space="0" w:color="auto"/>
                                    <w:bottom w:val="none" w:sz="0" w:space="0" w:color="auto"/>
                                    <w:right w:val="none" w:sz="0" w:space="0" w:color="auto"/>
                                  </w:divBdr>
                                  <w:divsChild>
                                    <w:div w:id="1173297702">
                                      <w:marLeft w:val="0"/>
                                      <w:marRight w:val="0"/>
                                      <w:marTop w:val="0"/>
                                      <w:marBottom w:val="0"/>
                                      <w:divBdr>
                                        <w:top w:val="none" w:sz="0" w:space="0" w:color="auto"/>
                                        <w:left w:val="none" w:sz="0" w:space="0" w:color="auto"/>
                                        <w:bottom w:val="none" w:sz="0" w:space="0" w:color="auto"/>
                                        <w:right w:val="none" w:sz="0" w:space="0" w:color="auto"/>
                                      </w:divBdr>
                                      <w:divsChild>
                                        <w:div w:id="64302045">
                                          <w:marLeft w:val="0"/>
                                          <w:marRight w:val="0"/>
                                          <w:marTop w:val="0"/>
                                          <w:marBottom w:val="0"/>
                                          <w:divBdr>
                                            <w:top w:val="none" w:sz="0" w:space="0" w:color="auto"/>
                                            <w:left w:val="none" w:sz="0" w:space="0" w:color="auto"/>
                                            <w:bottom w:val="none" w:sz="0" w:space="0" w:color="auto"/>
                                            <w:right w:val="none" w:sz="0" w:space="0" w:color="auto"/>
                                          </w:divBdr>
                                          <w:divsChild>
                                            <w:div w:id="622999189">
                                              <w:marLeft w:val="0"/>
                                              <w:marRight w:val="0"/>
                                              <w:marTop w:val="0"/>
                                              <w:marBottom w:val="0"/>
                                              <w:divBdr>
                                                <w:top w:val="none" w:sz="0" w:space="0" w:color="auto"/>
                                                <w:left w:val="none" w:sz="0" w:space="0" w:color="auto"/>
                                                <w:bottom w:val="none" w:sz="0" w:space="0" w:color="auto"/>
                                                <w:right w:val="none" w:sz="0" w:space="0" w:color="auto"/>
                                              </w:divBdr>
                                              <w:divsChild>
                                                <w:div w:id="472603935">
                                                  <w:marLeft w:val="0"/>
                                                  <w:marRight w:val="0"/>
                                                  <w:marTop w:val="0"/>
                                                  <w:marBottom w:val="0"/>
                                                  <w:divBdr>
                                                    <w:top w:val="none" w:sz="0" w:space="0" w:color="auto"/>
                                                    <w:left w:val="none" w:sz="0" w:space="0" w:color="auto"/>
                                                    <w:bottom w:val="none" w:sz="0" w:space="0" w:color="auto"/>
                                                    <w:right w:val="none" w:sz="0" w:space="0" w:color="auto"/>
                                                  </w:divBdr>
                                                  <w:divsChild>
                                                    <w:div w:id="2025203529">
                                                      <w:marLeft w:val="0"/>
                                                      <w:marRight w:val="0"/>
                                                      <w:marTop w:val="0"/>
                                                      <w:marBottom w:val="0"/>
                                                      <w:divBdr>
                                                        <w:top w:val="none" w:sz="0" w:space="0" w:color="auto"/>
                                                        <w:left w:val="none" w:sz="0" w:space="0" w:color="auto"/>
                                                        <w:bottom w:val="none" w:sz="0" w:space="0" w:color="auto"/>
                                                        <w:right w:val="none" w:sz="0" w:space="0" w:color="auto"/>
                                                      </w:divBdr>
                                                      <w:divsChild>
                                                        <w:div w:id="5885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773786">
      <w:bodyDiv w:val="1"/>
      <w:marLeft w:val="0"/>
      <w:marRight w:val="0"/>
      <w:marTop w:val="0"/>
      <w:marBottom w:val="0"/>
      <w:divBdr>
        <w:top w:val="none" w:sz="0" w:space="0" w:color="auto"/>
        <w:left w:val="none" w:sz="0" w:space="0" w:color="auto"/>
        <w:bottom w:val="none" w:sz="0" w:space="0" w:color="auto"/>
        <w:right w:val="none" w:sz="0" w:space="0" w:color="auto"/>
      </w:divBdr>
      <w:divsChild>
        <w:div w:id="683555382">
          <w:marLeft w:val="0"/>
          <w:marRight w:val="0"/>
          <w:marTop w:val="0"/>
          <w:marBottom w:val="0"/>
          <w:divBdr>
            <w:top w:val="none" w:sz="0" w:space="0" w:color="auto"/>
            <w:left w:val="none" w:sz="0" w:space="0" w:color="auto"/>
            <w:bottom w:val="none" w:sz="0" w:space="0" w:color="auto"/>
            <w:right w:val="none" w:sz="0" w:space="0" w:color="auto"/>
          </w:divBdr>
          <w:divsChild>
            <w:div w:id="2055540451">
              <w:marLeft w:val="0"/>
              <w:marRight w:val="0"/>
              <w:marTop w:val="0"/>
              <w:marBottom w:val="0"/>
              <w:divBdr>
                <w:top w:val="none" w:sz="0" w:space="0" w:color="auto"/>
                <w:left w:val="none" w:sz="0" w:space="0" w:color="auto"/>
                <w:bottom w:val="none" w:sz="0" w:space="0" w:color="auto"/>
                <w:right w:val="none" w:sz="0" w:space="0" w:color="auto"/>
              </w:divBdr>
              <w:divsChild>
                <w:div w:id="1694919087">
                  <w:marLeft w:val="0"/>
                  <w:marRight w:val="0"/>
                  <w:marTop w:val="0"/>
                  <w:marBottom w:val="0"/>
                  <w:divBdr>
                    <w:top w:val="none" w:sz="0" w:space="0" w:color="auto"/>
                    <w:left w:val="none" w:sz="0" w:space="0" w:color="auto"/>
                    <w:bottom w:val="none" w:sz="0" w:space="0" w:color="auto"/>
                    <w:right w:val="none" w:sz="0" w:space="0" w:color="auto"/>
                  </w:divBdr>
                  <w:divsChild>
                    <w:div w:id="1680695906">
                      <w:marLeft w:val="0"/>
                      <w:marRight w:val="0"/>
                      <w:marTop w:val="0"/>
                      <w:marBottom w:val="0"/>
                      <w:divBdr>
                        <w:top w:val="none" w:sz="0" w:space="0" w:color="auto"/>
                        <w:left w:val="none" w:sz="0" w:space="0" w:color="auto"/>
                        <w:bottom w:val="none" w:sz="0" w:space="0" w:color="auto"/>
                        <w:right w:val="none" w:sz="0" w:space="0" w:color="auto"/>
                      </w:divBdr>
                      <w:divsChild>
                        <w:div w:id="1545360829">
                          <w:marLeft w:val="0"/>
                          <w:marRight w:val="0"/>
                          <w:marTop w:val="0"/>
                          <w:marBottom w:val="0"/>
                          <w:divBdr>
                            <w:top w:val="none" w:sz="0" w:space="0" w:color="auto"/>
                            <w:left w:val="none" w:sz="0" w:space="0" w:color="auto"/>
                            <w:bottom w:val="none" w:sz="0" w:space="0" w:color="auto"/>
                            <w:right w:val="none" w:sz="0" w:space="0" w:color="auto"/>
                          </w:divBdr>
                          <w:divsChild>
                            <w:div w:id="746074348">
                              <w:marLeft w:val="0"/>
                              <w:marRight w:val="0"/>
                              <w:marTop w:val="0"/>
                              <w:marBottom w:val="0"/>
                              <w:divBdr>
                                <w:top w:val="none" w:sz="0" w:space="0" w:color="auto"/>
                                <w:left w:val="none" w:sz="0" w:space="0" w:color="auto"/>
                                <w:bottom w:val="none" w:sz="0" w:space="0" w:color="auto"/>
                                <w:right w:val="none" w:sz="0" w:space="0" w:color="auto"/>
                              </w:divBdr>
                              <w:divsChild>
                                <w:div w:id="425006152">
                                  <w:marLeft w:val="0"/>
                                  <w:marRight w:val="0"/>
                                  <w:marTop w:val="0"/>
                                  <w:marBottom w:val="0"/>
                                  <w:divBdr>
                                    <w:top w:val="none" w:sz="0" w:space="0" w:color="auto"/>
                                    <w:left w:val="none" w:sz="0" w:space="0" w:color="auto"/>
                                    <w:bottom w:val="none" w:sz="0" w:space="0" w:color="auto"/>
                                    <w:right w:val="none" w:sz="0" w:space="0" w:color="auto"/>
                                  </w:divBdr>
                                  <w:divsChild>
                                    <w:div w:id="1142190245">
                                      <w:marLeft w:val="0"/>
                                      <w:marRight w:val="0"/>
                                      <w:marTop w:val="0"/>
                                      <w:marBottom w:val="0"/>
                                      <w:divBdr>
                                        <w:top w:val="none" w:sz="0" w:space="0" w:color="auto"/>
                                        <w:left w:val="none" w:sz="0" w:space="0" w:color="auto"/>
                                        <w:bottom w:val="none" w:sz="0" w:space="0" w:color="auto"/>
                                        <w:right w:val="none" w:sz="0" w:space="0" w:color="auto"/>
                                      </w:divBdr>
                                      <w:divsChild>
                                        <w:div w:id="1466773662">
                                          <w:marLeft w:val="0"/>
                                          <w:marRight w:val="0"/>
                                          <w:marTop w:val="0"/>
                                          <w:marBottom w:val="0"/>
                                          <w:divBdr>
                                            <w:top w:val="none" w:sz="0" w:space="0" w:color="auto"/>
                                            <w:left w:val="none" w:sz="0" w:space="0" w:color="auto"/>
                                            <w:bottom w:val="none" w:sz="0" w:space="0" w:color="auto"/>
                                            <w:right w:val="none" w:sz="0" w:space="0" w:color="auto"/>
                                          </w:divBdr>
                                          <w:divsChild>
                                            <w:div w:id="440609804">
                                              <w:marLeft w:val="0"/>
                                              <w:marRight w:val="0"/>
                                              <w:marTop w:val="0"/>
                                              <w:marBottom w:val="0"/>
                                              <w:divBdr>
                                                <w:top w:val="none" w:sz="0" w:space="0" w:color="auto"/>
                                                <w:left w:val="none" w:sz="0" w:space="0" w:color="auto"/>
                                                <w:bottom w:val="none" w:sz="0" w:space="0" w:color="auto"/>
                                                <w:right w:val="none" w:sz="0" w:space="0" w:color="auto"/>
                                              </w:divBdr>
                                              <w:divsChild>
                                                <w:div w:id="774984730">
                                                  <w:marLeft w:val="0"/>
                                                  <w:marRight w:val="0"/>
                                                  <w:marTop w:val="0"/>
                                                  <w:marBottom w:val="0"/>
                                                  <w:divBdr>
                                                    <w:top w:val="none" w:sz="0" w:space="0" w:color="auto"/>
                                                    <w:left w:val="none" w:sz="0" w:space="0" w:color="auto"/>
                                                    <w:bottom w:val="none" w:sz="0" w:space="0" w:color="auto"/>
                                                    <w:right w:val="none" w:sz="0" w:space="0" w:color="auto"/>
                                                  </w:divBdr>
                                                  <w:divsChild>
                                                    <w:div w:id="1312952412">
                                                      <w:marLeft w:val="0"/>
                                                      <w:marRight w:val="0"/>
                                                      <w:marTop w:val="0"/>
                                                      <w:marBottom w:val="0"/>
                                                      <w:divBdr>
                                                        <w:top w:val="none" w:sz="0" w:space="0" w:color="auto"/>
                                                        <w:left w:val="none" w:sz="0" w:space="0" w:color="auto"/>
                                                        <w:bottom w:val="none" w:sz="0" w:space="0" w:color="auto"/>
                                                        <w:right w:val="none" w:sz="0" w:space="0" w:color="auto"/>
                                                      </w:divBdr>
                                                      <w:divsChild>
                                                        <w:div w:id="15232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670175">
      <w:bodyDiv w:val="1"/>
      <w:marLeft w:val="0"/>
      <w:marRight w:val="0"/>
      <w:marTop w:val="0"/>
      <w:marBottom w:val="0"/>
      <w:divBdr>
        <w:top w:val="none" w:sz="0" w:space="0" w:color="auto"/>
        <w:left w:val="none" w:sz="0" w:space="0" w:color="auto"/>
        <w:bottom w:val="none" w:sz="0" w:space="0" w:color="auto"/>
        <w:right w:val="none" w:sz="0" w:space="0" w:color="auto"/>
      </w:divBdr>
    </w:div>
    <w:div w:id="867138414">
      <w:bodyDiv w:val="1"/>
      <w:marLeft w:val="0"/>
      <w:marRight w:val="0"/>
      <w:marTop w:val="0"/>
      <w:marBottom w:val="0"/>
      <w:divBdr>
        <w:top w:val="none" w:sz="0" w:space="0" w:color="auto"/>
        <w:left w:val="none" w:sz="0" w:space="0" w:color="auto"/>
        <w:bottom w:val="none" w:sz="0" w:space="0" w:color="auto"/>
        <w:right w:val="none" w:sz="0" w:space="0" w:color="auto"/>
      </w:divBdr>
    </w:div>
    <w:div w:id="912618447">
      <w:bodyDiv w:val="1"/>
      <w:marLeft w:val="0"/>
      <w:marRight w:val="0"/>
      <w:marTop w:val="0"/>
      <w:marBottom w:val="0"/>
      <w:divBdr>
        <w:top w:val="none" w:sz="0" w:space="0" w:color="auto"/>
        <w:left w:val="none" w:sz="0" w:space="0" w:color="auto"/>
        <w:bottom w:val="none" w:sz="0" w:space="0" w:color="auto"/>
        <w:right w:val="none" w:sz="0" w:space="0" w:color="auto"/>
      </w:divBdr>
    </w:div>
    <w:div w:id="970793379">
      <w:bodyDiv w:val="1"/>
      <w:marLeft w:val="0"/>
      <w:marRight w:val="0"/>
      <w:marTop w:val="0"/>
      <w:marBottom w:val="0"/>
      <w:divBdr>
        <w:top w:val="none" w:sz="0" w:space="0" w:color="auto"/>
        <w:left w:val="none" w:sz="0" w:space="0" w:color="auto"/>
        <w:bottom w:val="none" w:sz="0" w:space="0" w:color="auto"/>
        <w:right w:val="none" w:sz="0" w:space="0" w:color="auto"/>
      </w:divBdr>
    </w:div>
    <w:div w:id="1026323384">
      <w:bodyDiv w:val="1"/>
      <w:marLeft w:val="0"/>
      <w:marRight w:val="0"/>
      <w:marTop w:val="0"/>
      <w:marBottom w:val="0"/>
      <w:divBdr>
        <w:top w:val="none" w:sz="0" w:space="0" w:color="auto"/>
        <w:left w:val="none" w:sz="0" w:space="0" w:color="auto"/>
        <w:bottom w:val="none" w:sz="0" w:space="0" w:color="auto"/>
        <w:right w:val="none" w:sz="0" w:space="0" w:color="auto"/>
      </w:divBdr>
    </w:div>
    <w:div w:id="1045182909">
      <w:bodyDiv w:val="1"/>
      <w:marLeft w:val="0"/>
      <w:marRight w:val="0"/>
      <w:marTop w:val="0"/>
      <w:marBottom w:val="0"/>
      <w:divBdr>
        <w:top w:val="none" w:sz="0" w:space="0" w:color="auto"/>
        <w:left w:val="none" w:sz="0" w:space="0" w:color="auto"/>
        <w:bottom w:val="none" w:sz="0" w:space="0" w:color="auto"/>
        <w:right w:val="none" w:sz="0" w:space="0" w:color="auto"/>
      </w:divBdr>
    </w:div>
    <w:div w:id="1081220104">
      <w:bodyDiv w:val="1"/>
      <w:marLeft w:val="0"/>
      <w:marRight w:val="0"/>
      <w:marTop w:val="0"/>
      <w:marBottom w:val="0"/>
      <w:divBdr>
        <w:top w:val="none" w:sz="0" w:space="0" w:color="auto"/>
        <w:left w:val="none" w:sz="0" w:space="0" w:color="auto"/>
        <w:bottom w:val="none" w:sz="0" w:space="0" w:color="auto"/>
        <w:right w:val="none" w:sz="0" w:space="0" w:color="auto"/>
      </w:divBdr>
    </w:div>
    <w:div w:id="1132670034">
      <w:bodyDiv w:val="1"/>
      <w:marLeft w:val="0"/>
      <w:marRight w:val="0"/>
      <w:marTop w:val="0"/>
      <w:marBottom w:val="0"/>
      <w:divBdr>
        <w:top w:val="none" w:sz="0" w:space="0" w:color="auto"/>
        <w:left w:val="none" w:sz="0" w:space="0" w:color="auto"/>
        <w:bottom w:val="none" w:sz="0" w:space="0" w:color="auto"/>
        <w:right w:val="none" w:sz="0" w:space="0" w:color="auto"/>
      </w:divBdr>
    </w:div>
    <w:div w:id="1134644377">
      <w:bodyDiv w:val="1"/>
      <w:marLeft w:val="0"/>
      <w:marRight w:val="0"/>
      <w:marTop w:val="0"/>
      <w:marBottom w:val="0"/>
      <w:divBdr>
        <w:top w:val="none" w:sz="0" w:space="0" w:color="auto"/>
        <w:left w:val="none" w:sz="0" w:space="0" w:color="auto"/>
        <w:bottom w:val="none" w:sz="0" w:space="0" w:color="auto"/>
        <w:right w:val="none" w:sz="0" w:space="0" w:color="auto"/>
      </w:divBdr>
    </w:div>
    <w:div w:id="1144078177">
      <w:bodyDiv w:val="1"/>
      <w:marLeft w:val="0"/>
      <w:marRight w:val="0"/>
      <w:marTop w:val="0"/>
      <w:marBottom w:val="0"/>
      <w:divBdr>
        <w:top w:val="none" w:sz="0" w:space="0" w:color="auto"/>
        <w:left w:val="none" w:sz="0" w:space="0" w:color="auto"/>
        <w:bottom w:val="none" w:sz="0" w:space="0" w:color="auto"/>
        <w:right w:val="none" w:sz="0" w:space="0" w:color="auto"/>
      </w:divBdr>
    </w:div>
    <w:div w:id="1170220483">
      <w:bodyDiv w:val="1"/>
      <w:marLeft w:val="0"/>
      <w:marRight w:val="0"/>
      <w:marTop w:val="0"/>
      <w:marBottom w:val="0"/>
      <w:divBdr>
        <w:top w:val="none" w:sz="0" w:space="0" w:color="auto"/>
        <w:left w:val="none" w:sz="0" w:space="0" w:color="auto"/>
        <w:bottom w:val="none" w:sz="0" w:space="0" w:color="auto"/>
        <w:right w:val="none" w:sz="0" w:space="0" w:color="auto"/>
      </w:divBdr>
      <w:divsChild>
        <w:div w:id="2066758445">
          <w:marLeft w:val="0"/>
          <w:marRight w:val="0"/>
          <w:marTop w:val="0"/>
          <w:marBottom w:val="0"/>
          <w:divBdr>
            <w:top w:val="none" w:sz="0" w:space="0" w:color="auto"/>
            <w:left w:val="none" w:sz="0" w:space="0" w:color="auto"/>
            <w:bottom w:val="none" w:sz="0" w:space="0" w:color="auto"/>
            <w:right w:val="none" w:sz="0" w:space="0" w:color="auto"/>
          </w:divBdr>
          <w:divsChild>
            <w:div w:id="15430597">
              <w:marLeft w:val="0"/>
              <w:marRight w:val="0"/>
              <w:marTop w:val="0"/>
              <w:marBottom w:val="0"/>
              <w:divBdr>
                <w:top w:val="none" w:sz="0" w:space="0" w:color="auto"/>
                <w:left w:val="none" w:sz="0" w:space="0" w:color="auto"/>
                <w:bottom w:val="none" w:sz="0" w:space="0" w:color="auto"/>
                <w:right w:val="none" w:sz="0" w:space="0" w:color="auto"/>
              </w:divBdr>
              <w:divsChild>
                <w:div w:id="977690574">
                  <w:marLeft w:val="0"/>
                  <w:marRight w:val="0"/>
                  <w:marTop w:val="0"/>
                  <w:marBottom w:val="0"/>
                  <w:divBdr>
                    <w:top w:val="none" w:sz="0" w:space="0" w:color="auto"/>
                    <w:left w:val="none" w:sz="0" w:space="0" w:color="auto"/>
                    <w:bottom w:val="none" w:sz="0" w:space="0" w:color="auto"/>
                    <w:right w:val="none" w:sz="0" w:space="0" w:color="auto"/>
                  </w:divBdr>
                  <w:divsChild>
                    <w:div w:id="1344480854">
                      <w:marLeft w:val="0"/>
                      <w:marRight w:val="0"/>
                      <w:marTop w:val="0"/>
                      <w:marBottom w:val="0"/>
                      <w:divBdr>
                        <w:top w:val="none" w:sz="0" w:space="0" w:color="auto"/>
                        <w:left w:val="none" w:sz="0" w:space="0" w:color="auto"/>
                        <w:bottom w:val="none" w:sz="0" w:space="0" w:color="auto"/>
                        <w:right w:val="none" w:sz="0" w:space="0" w:color="auto"/>
                      </w:divBdr>
                      <w:divsChild>
                        <w:div w:id="1710841181">
                          <w:marLeft w:val="0"/>
                          <w:marRight w:val="0"/>
                          <w:marTop w:val="0"/>
                          <w:marBottom w:val="0"/>
                          <w:divBdr>
                            <w:top w:val="none" w:sz="0" w:space="0" w:color="auto"/>
                            <w:left w:val="none" w:sz="0" w:space="0" w:color="auto"/>
                            <w:bottom w:val="none" w:sz="0" w:space="0" w:color="auto"/>
                            <w:right w:val="none" w:sz="0" w:space="0" w:color="auto"/>
                          </w:divBdr>
                          <w:divsChild>
                            <w:div w:id="1407680330">
                              <w:marLeft w:val="0"/>
                              <w:marRight w:val="0"/>
                              <w:marTop w:val="0"/>
                              <w:marBottom w:val="0"/>
                              <w:divBdr>
                                <w:top w:val="none" w:sz="0" w:space="0" w:color="auto"/>
                                <w:left w:val="none" w:sz="0" w:space="0" w:color="auto"/>
                                <w:bottom w:val="none" w:sz="0" w:space="0" w:color="auto"/>
                                <w:right w:val="none" w:sz="0" w:space="0" w:color="auto"/>
                              </w:divBdr>
                              <w:divsChild>
                                <w:div w:id="947273861">
                                  <w:marLeft w:val="0"/>
                                  <w:marRight w:val="0"/>
                                  <w:marTop w:val="0"/>
                                  <w:marBottom w:val="0"/>
                                  <w:divBdr>
                                    <w:top w:val="none" w:sz="0" w:space="0" w:color="auto"/>
                                    <w:left w:val="none" w:sz="0" w:space="0" w:color="auto"/>
                                    <w:bottom w:val="none" w:sz="0" w:space="0" w:color="auto"/>
                                    <w:right w:val="none" w:sz="0" w:space="0" w:color="auto"/>
                                  </w:divBdr>
                                  <w:divsChild>
                                    <w:div w:id="2221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32462">
      <w:bodyDiv w:val="1"/>
      <w:marLeft w:val="0"/>
      <w:marRight w:val="0"/>
      <w:marTop w:val="0"/>
      <w:marBottom w:val="0"/>
      <w:divBdr>
        <w:top w:val="none" w:sz="0" w:space="0" w:color="auto"/>
        <w:left w:val="none" w:sz="0" w:space="0" w:color="auto"/>
        <w:bottom w:val="none" w:sz="0" w:space="0" w:color="auto"/>
        <w:right w:val="none" w:sz="0" w:space="0" w:color="auto"/>
      </w:divBdr>
    </w:div>
    <w:div w:id="1180465299">
      <w:bodyDiv w:val="1"/>
      <w:marLeft w:val="0"/>
      <w:marRight w:val="0"/>
      <w:marTop w:val="0"/>
      <w:marBottom w:val="0"/>
      <w:divBdr>
        <w:top w:val="none" w:sz="0" w:space="0" w:color="auto"/>
        <w:left w:val="none" w:sz="0" w:space="0" w:color="auto"/>
        <w:bottom w:val="none" w:sz="0" w:space="0" w:color="auto"/>
        <w:right w:val="none" w:sz="0" w:space="0" w:color="auto"/>
      </w:divBdr>
    </w:div>
    <w:div w:id="1224491329">
      <w:bodyDiv w:val="1"/>
      <w:marLeft w:val="0"/>
      <w:marRight w:val="0"/>
      <w:marTop w:val="0"/>
      <w:marBottom w:val="0"/>
      <w:divBdr>
        <w:top w:val="none" w:sz="0" w:space="0" w:color="auto"/>
        <w:left w:val="none" w:sz="0" w:space="0" w:color="auto"/>
        <w:bottom w:val="none" w:sz="0" w:space="0" w:color="auto"/>
        <w:right w:val="none" w:sz="0" w:space="0" w:color="auto"/>
      </w:divBdr>
    </w:div>
    <w:div w:id="1249386834">
      <w:bodyDiv w:val="1"/>
      <w:marLeft w:val="0"/>
      <w:marRight w:val="0"/>
      <w:marTop w:val="0"/>
      <w:marBottom w:val="0"/>
      <w:divBdr>
        <w:top w:val="none" w:sz="0" w:space="0" w:color="auto"/>
        <w:left w:val="none" w:sz="0" w:space="0" w:color="auto"/>
        <w:bottom w:val="none" w:sz="0" w:space="0" w:color="auto"/>
        <w:right w:val="none" w:sz="0" w:space="0" w:color="auto"/>
      </w:divBdr>
    </w:div>
    <w:div w:id="1341546762">
      <w:bodyDiv w:val="1"/>
      <w:marLeft w:val="0"/>
      <w:marRight w:val="0"/>
      <w:marTop w:val="0"/>
      <w:marBottom w:val="0"/>
      <w:divBdr>
        <w:top w:val="none" w:sz="0" w:space="0" w:color="auto"/>
        <w:left w:val="none" w:sz="0" w:space="0" w:color="auto"/>
        <w:bottom w:val="none" w:sz="0" w:space="0" w:color="auto"/>
        <w:right w:val="none" w:sz="0" w:space="0" w:color="auto"/>
      </w:divBdr>
    </w:div>
    <w:div w:id="1344746068">
      <w:bodyDiv w:val="1"/>
      <w:marLeft w:val="0"/>
      <w:marRight w:val="0"/>
      <w:marTop w:val="0"/>
      <w:marBottom w:val="0"/>
      <w:divBdr>
        <w:top w:val="none" w:sz="0" w:space="0" w:color="auto"/>
        <w:left w:val="none" w:sz="0" w:space="0" w:color="auto"/>
        <w:bottom w:val="none" w:sz="0" w:space="0" w:color="auto"/>
        <w:right w:val="none" w:sz="0" w:space="0" w:color="auto"/>
      </w:divBdr>
    </w:div>
    <w:div w:id="1375042923">
      <w:bodyDiv w:val="1"/>
      <w:marLeft w:val="0"/>
      <w:marRight w:val="0"/>
      <w:marTop w:val="0"/>
      <w:marBottom w:val="0"/>
      <w:divBdr>
        <w:top w:val="none" w:sz="0" w:space="0" w:color="auto"/>
        <w:left w:val="none" w:sz="0" w:space="0" w:color="auto"/>
        <w:bottom w:val="none" w:sz="0" w:space="0" w:color="auto"/>
        <w:right w:val="none" w:sz="0" w:space="0" w:color="auto"/>
      </w:divBdr>
    </w:div>
    <w:div w:id="1380935363">
      <w:bodyDiv w:val="1"/>
      <w:marLeft w:val="0"/>
      <w:marRight w:val="0"/>
      <w:marTop w:val="0"/>
      <w:marBottom w:val="0"/>
      <w:divBdr>
        <w:top w:val="none" w:sz="0" w:space="0" w:color="auto"/>
        <w:left w:val="none" w:sz="0" w:space="0" w:color="auto"/>
        <w:bottom w:val="none" w:sz="0" w:space="0" w:color="auto"/>
        <w:right w:val="none" w:sz="0" w:space="0" w:color="auto"/>
      </w:divBdr>
    </w:div>
    <w:div w:id="1396048060">
      <w:bodyDiv w:val="1"/>
      <w:marLeft w:val="0"/>
      <w:marRight w:val="0"/>
      <w:marTop w:val="0"/>
      <w:marBottom w:val="0"/>
      <w:divBdr>
        <w:top w:val="none" w:sz="0" w:space="0" w:color="auto"/>
        <w:left w:val="none" w:sz="0" w:space="0" w:color="auto"/>
        <w:bottom w:val="none" w:sz="0" w:space="0" w:color="auto"/>
        <w:right w:val="none" w:sz="0" w:space="0" w:color="auto"/>
      </w:divBdr>
    </w:div>
    <w:div w:id="1422874062">
      <w:bodyDiv w:val="1"/>
      <w:marLeft w:val="0"/>
      <w:marRight w:val="0"/>
      <w:marTop w:val="0"/>
      <w:marBottom w:val="0"/>
      <w:divBdr>
        <w:top w:val="none" w:sz="0" w:space="0" w:color="auto"/>
        <w:left w:val="none" w:sz="0" w:space="0" w:color="auto"/>
        <w:bottom w:val="none" w:sz="0" w:space="0" w:color="auto"/>
        <w:right w:val="none" w:sz="0" w:space="0" w:color="auto"/>
      </w:divBdr>
    </w:div>
    <w:div w:id="1459689835">
      <w:bodyDiv w:val="1"/>
      <w:marLeft w:val="0"/>
      <w:marRight w:val="0"/>
      <w:marTop w:val="0"/>
      <w:marBottom w:val="0"/>
      <w:divBdr>
        <w:top w:val="none" w:sz="0" w:space="0" w:color="auto"/>
        <w:left w:val="none" w:sz="0" w:space="0" w:color="auto"/>
        <w:bottom w:val="none" w:sz="0" w:space="0" w:color="auto"/>
        <w:right w:val="none" w:sz="0" w:space="0" w:color="auto"/>
      </w:divBdr>
    </w:div>
    <w:div w:id="1459757320">
      <w:bodyDiv w:val="1"/>
      <w:marLeft w:val="0"/>
      <w:marRight w:val="0"/>
      <w:marTop w:val="0"/>
      <w:marBottom w:val="0"/>
      <w:divBdr>
        <w:top w:val="none" w:sz="0" w:space="0" w:color="auto"/>
        <w:left w:val="none" w:sz="0" w:space="0" w:color="auto"/>
        <w:bottom w:val="none" w:sz="0" w:space="0" w:color="auto"/>
        <w:right w:val="none" w:sz="0" w:space="0" w:color="auto"/>
      </w:divBdr>
    </w:div>
    <w:div w:id="1484540801">
      <w:bodyDiv w:val="1"/>
      <w:marLeft w:val="0"/>
      <w:marRight w:val="0"/>
      <w:marTop w:val="0"/>
      <w:marBottom w:val="0"/>
      <w:divBdr>
        <w:top w:val="none" w:sz="0" w:space="0" w:color="auto"/>
        <w:left w:val="none" w:sz="0" w:space="0" w:color="auto"/>
        <w:bottom w:val="none" w:sz="0" w:space="0" w:color="auto"/>
        <w:right w:val="none" w:sz="0" w:space="0" w:color="auto"/>
      </w:divBdr>
    </w:div>
    <w:div w:id="1525358875">
      <w:bodyDiv w:val="1"/>
      <w:marLeft w:val="0"/>
      <w:marRight w:val="0"/>
      <w:marTop w:val="0"/>
      <w:marBottom w:val="0"/>
      <w:divBdr>
        <w:top w:val="none" w:sz="0" w:space="0" w:color="auto"/>
        <w:left w:val="none" w:sz="0" w:space="0" w:color="auto"/>
        <w:bottom w:val="none" w:sz="0" w:space="0" w:color="auto"/>
        <w:right w:val="none" w:sz="0" w:space="0" w:color="auto"/>
      </w:divBdr>
    </w:div>
    <w:div w:id="1546214343">
      <w:bodyDiv w:val="1"/>
      <w:marLeft w:val="0"/>
      <w:marRight w:val="0"/>
      <w:marTop w:val="0"/>
      <w:marBottom w:val="0"/>
      <w:divBdr>
        <w:top w:val="none" w:sz="0" w:space="0" w:color="auto"/>
        <w:left w:val="none" w:sz="0" w:space="0" w:color="auto"/>
        <w:bottom w:val="none" w:sz="0" w:space="0" w:color="auto"/>
        <w:right w:val="none" w:sz="0" w:space="0" w:color="auto"/>
      </w:divBdr>
    </w:div>
    <w:div w:id="1657225643">
      <w:bodyDiv w:val="1"/>
      <w:marLeft w:val="0"/>
      <w:marRight w:val="0"/>
      <w:marTop w:val="0"/>
      <w:marBottom w:val="0"/>
      <w:divBdr>
        <w:top w:val="none" w:sz="0" w:space="0" w:color="auto"/>
        <w:left w:val="none" w:sz="0" w:space="0" w:color="auto"/>
        <w:bottom w:val="none" w:sz="0" w:space="0" w:color="auto"/>
        <w:right w:val="none" w:sz="0" w:space="0" w:color="auto"/>
      </w:divBdr>
    </w:div>
    <w:div w:id="1688293999">
      <w:bodyDiv w:val="1"/>
      <w:marLeft w:val="0"/>
      <w:marRight w:val="0"/>
      <w:marTop w:val="0"/>
      <w:marBottom w:val="0"/>
      <w:divBdr>
        <w:top w:val="none" w:sz="0" w:space="0" w:color="auto"/>
        <w:left w:val="none" w:sz="0" w:space="0" w:color="auto"/>
        <w:bottom w:val="none" w:sz="0" w:space="0" w:color="auto"/>
        <w:right w:val="none" w:sz="0" w:space="0" w:color="auto"/>
      </w:divBdr>
    </w:div>
    <w:div w:id="1692368161">
      <w:bodyDiv w:val="1"/>
      <w:marLeft w:val="0"/>
      <w:marRight w:val="0"/>
      <w:marTop w:val="0"/>
      <w:marBottom w:val="0"/>
      <w:divBdr>
        <w:top w:val="none" w:sz="0" w:space="0" w:color="auto"/>
        <w:left w:val="none" w:sz="0" w:space="0" w:color="auto"/>
        <w:bottom w:val="none" w:sz="0" w:space="0" w:color="auto"/>
        <w:right w:val="none" w:sz="0" w:space="0" w:color="auto"/>
      </w:divBdr>
    </w:div>
    <w:div w:id="1696349587">
      <w:bodyDiv w:val="1"/>
      <w:marLeft w:val="0"/>
      <w:marRight w:val="0"/>
      <w:marTop w:val="0"/>
      <w:marBottom w:val="0"/>
      <w:divBdr>
        <w:top w:val="none" w:sz="0" w:space="0" w:color="auto"/>
        <w:left w:val="none" w:sz="0" w:space="0" w:color="auto"/>
        <w:bottom w:val="none" w:sz="0" w:space="0" w:color="auto"/>
        <w:right w:val="none" w:sz="0" w:space="0" w:color="auto"/>
      </w:divBdr>
    </w:div>
    <w:div w:id="1703625134">
      <w:bodyDiv w:val="1"/>
      <w:marLeft w:val="0"/>
      <w:marRight w:val="0"/>
      <w:marTop w:val="0"/>
      <w:marBottom w:val="0"/>
      <w:divBdr>
        <w:top w:val="none" w:sz="0" w:space="0" w:color="auto"/>
        <w:left w:val="none" w:sz="0" w:space="0" w:color="auto"/>
        <w:bottom w:val="none" w:sz="0" w:space="0" w:color="auto"/>
        <w:right w:val="none" w:sz="0" w:space="0" w:color="auto"/>
      </w:divBdr>
    </w:div>
    <w:div w:id="1712219693">
      <w:bodyDiv w:val="1"/>
      <w:marLeft w:val="0"/>
      <w:marRight w:val="0"/>
      <w:marTop w:val="0"/>
      <w:marBottom w:val="0"/>
      <w:divBdr>
        <w:top w:val="none" w:sz="0" w:space="0" w:color="auto"/>
        <w:left w:val="none" w:sz="0" w:space="0" w:color="auto"/>
        <w:bottom w:val="none" w:sz="0" w:space="0" w:color="auto"/>
        <w:right w:val="none" w:sz="0" w:space="0" w:color="auto"/>
      </w:divBdr>
    </w:div>
    <w:div w:id="1753040256">
      <w:bodyDiv w:val="1"/>
      <w:marLeft w:val="0"/>
      <w:marRight w:val="0"/>
      <w:marTop w:val="0"/>
      <w:marBottom w:val="0"/>
      <w:divBdr>
        <w:top w:val="none" w:sz="0" w:space="0" w:color="auto"/>
        <w:left w:val="none" w:sz="0" w:space="0" w:color="auto"/>
        <w:bottom w:val="none" w:sz="0" w:space="0" w:color="auto"/>
        <w:right w:val="none" w:sz="0" w:space="0" w:color="auto"/>
      </w:divBdr>
    </w:div>
    <w:div w:id="1770275886">
      <w:bodyDiv w:val="1"/>
      <w:marLeft w:val="0"/>
      <w:marRight w:val="0"/>
      <w:marTop w:val="0"/>
      <w:marBottom w:val="0"/>
      <w:divBdr>
        <w:top w:val="none" w:sz="0" w:space="0" w:color="auto"/>
        <w:left w:val="none" w:sz="0" w:space="0" w:color="auto"/>
        <w:bottom w:val="none" w:sz="0" w:space="0" w:color="auto"/>
        <w:right w:val="none" w:sz="0" w:space="0" w:color="auto"/>
      </w:divBdr>
    </w:div>
    <w:div w:id="1833451233">
      <w:bodyDiv w:val="1"/>
      <w:marLeft w:val="0"/>
      <w:marRight w:val="0"/>
      <w:marTop w:val="0"/>
      <w:marBottom w:val="0"/>
      <w:divBdr>
        <w:top w:val="none" w:sz="0" w:space="0" w:color="auto"/>
        <w:left w:val="none" w:sz="0" w:space="0" w:color="auto"/>
        <w:bottom w:val="none" w:sz="0" w:space="0" w:color="auto"/>
        <w:right w:val="none" w:sz="0" w:space="0" w:color="auto"/>
      </w:divBdr>
    </w:div>
    <w:div w:id="1898399136">
      <w:bodyDiv w:val="1"/>
      <w:marLeft w:val="0"/>
      <w:marRight w:val="0"/>
      <w:marTop w:val="0"/>
      <w:marBottom w:val="0"/>
      <w:divBdr>
        <w:top w:val="none" w:sz="0" w:space="0" w:color="auto"/>
        <w:left w:val="none" w:sz="0" w:space="0" w:color="auto"/>
        <w:bottom w:val="none" w:sz="0" w:space="0" w:color="auto"/>
        <w:right w:val="none" w:sz="0" w:space="0" w:color="auto"/>
      </w:divBdr>
    </w:div>
    <w:div w:id="1902011425">
      <w:bodyDiv w:val="1"/>
      <w:marLeft w:val="0"/>
      <w:marRight w:val="0"/>
      <w:marTop w:val="0"/>
      <w:marBottom w:val="0"/>
      <w:divBdr>
        <w:top w:val="none" w:sz="0" w:space="0" w:color="auto"/>
        <w:left w:val="none" w:sz="0" w:space="0" w:color="auto"/>
        <w:bottom w:val="none" w:sz="0" w:space="0" w:color="auto"/>
        <w:right w:val="none" w:sz="0" w:space="0" w:color="auto"/>
      </w:divBdr>
    </w:div>
    <w:div w:id="1952206209">
      <w:bodyDiv w:val="1"/>
      <w:marLeft w:val="0"/>
      <w:marRight w:val="0"/>
      <w:marTop w:val="0"/>
      <w:marBottom w:val="0"/>
      <w:divBdr>
        <w:top w:val="none" w:sz="0" w:space="0" w:color="auto"/>
        <w:left w:val="none" w:sz="0" w:space="0" w:color="auto"/>
        <w:bottom w:val="none" w:sz="0" w:space="0" w:color="auto"/>
        <w:right w:val="none" w:sz="0" w:space="0" w:color="auto"/>
      </w:divBdr>
    </w:div>
    <w:div w:id="2003509199">
      <w:bodyDiv w:val="1"/>
      <w:marLeft w:val="0"/>
      <w:marRight w:val="0"/>
      <w:marTop w:val="0"/>
      <w:marBottom w:val="0"/>
      <w:divBdr>
        <w:top w:val="none" w:sz="0" w:space="0" w:color="auto"/>
        <w:left w:val="none" w:sz="0" w:space="0" w:color="auto"/>
        <w:bottom w:val="none" w:sz="0" w:space="0" w:color="auto"/>
        <w:right w:val="none" w:sz="0" w:space="0" w:color="auto"/>
      </w:divBdr>
    </w:div>
    <w:div w:id="2031032504">
      <w:bodyDiv w:val="1"/>
      <w:marLeft w:val="0"/>
      <w:marRight w:val="0"/>
      <w:marTop w:val="0"/>
      <w:marBottom w:val="0"/>
      <w:divBdr>
        <w:top w:val="none" w:sz="0" w:space="0" w:color="auto"/>
        <w:left w:val="none" w:sz="0" w:space="0" w:color="auto"/>
        <w:bottom w:val="none" w:sz="0" w:space="0" w:color="auto"/>
        <w:right w:val="none" w:sz="0" w:space="0" w:color="auto"/>
      </w:divBdr>
    </w:div>
    <w:div w:id="2124764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61" Type="http://schemas.openxmlformats.org/officeDocument/2006/relationships/header" Target="header1.xml"/><Relationship Id="rId64"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4" Type="http://schemas.openxmlformats.org/officeDocument/2006/relationships/settings" Target="settings.xml"/><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EBA29-9AA0-4C0F-93BE-850C21E38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6126</TotalTime>
  <Pages>104</Pages>
  <Words>24328</Words>
  <Characters>138675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Thiet ke va cai tien bo dieu khien Gimbal tren co so he dieu hanh thoi gian thuc Apache NuttX</vt:lpstr>
    </vt:vector>
  </TitlesOfParts>
  <Company/>
  <LinksUpToDate>false</LinksUpToDate>
  <CharactersWithSpaces>162678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Thiet ke va cai tien bo dieu khien Gimbal tren co so he dieu hanh thoi gian thuc Apache NuttX</dc:title>
  <dc:subject/>
  <dc:creator>Do an tot nghiep</dc:creator>
  <cp:keywords/>
  <dc:description/>
  <cp:lastModifiedBy>Nam Huỳnh</cp:lastModifiedBy>
  <cp:revision>137</cp:revision>
  <cp:lastPrinted>2026-09-28T01:10:00Z</cp:lastPrinted>
  <dcterms:created xsi:type="dcterms:W3CDTF">2026-09-20T18:31:00Z</dcterms:created>
  <dcterms:modified xsi:type="dcterms:W3CDTF">2026-09-29T15:51:00Z</dcterms:modified>
</cp:coreProperties>
</file>