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Sở Tư pháp Thành phố Hồ Chí Minh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NGUYỄN HOÀNG THANH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//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17/01/2003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Tp. Hồ Chí Minh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Việt Nam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Kinh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 xml:space="preserve">104/4, ấp 3, Xuân Thới Thượng, Hóc Môn, Tp. Hồ Chí Minh, 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 xml:space="preserve"/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Thẻ Căn cước công dân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079203040699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08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01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2020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Cục Cảnh sát đăng ký quản lý cư trú và dữ liệu quốc gia về dân cư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NGUYỄN VĂN HIẾU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10/10/1968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NGUYỄN THỊ MỸ HÀ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16/02/1971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0982323948/thanhnguyenhoang171official@gmail.com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17/01/2017-27/09/2022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104/4, ấp 3, Xuân Thới Thượng, Hóc Môn, Tp Hồ Chí Minh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sinh viên-ĐH Mở TP Hồ Chí Minh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Xin việc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3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//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 Thành phố Hồ Chí Minh, ngày 27 tháng 9 năm 2022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NGUYỄN HOÀNG THANH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