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52" w:lineRule="auto"/>
        <w:jc w:val="center"/>
      </w:pPr>
      <w:r>
        <w:rPr>
          <w:rFonts w:ascii="Times New Roman" w:hAnsi="Times New Roman" w:eastAsia="Times New Roman"/>
          <w:b/>
          <w:i w:val="0"/>
          <w:sz w:val="32"/>
        </w:rPr>
        <w:t>HƯỚNG DẪN NHANH</w:t>
      </w:r>
    </w:p>
    <w:p>
      <w:pPr>
        <w:spacing w:after="60" w:line="252" w:lineRule="auto"/>
        <w:jc w:val="center"/>
      </w:pPr>
      <w:r>
        <w:rPr>
          <w:rFonts w:ascii="Times New Roman" w:hAnsi="Times New Roman" w:eastAsia="Times New Roman"/>
          <w:b/>
          <w:i w:val="0"/>
          <w:sz w:val="28"/>
        </w:rPr>
        <w:t>KHAI THÁC RỪNG TRỒNG VÀ LẬP BẢNG KÊ LÂM SẢN</w:t>
      </w:r>
    </w:p>
    <w:p>
      <w:pPr>
        <w:spacing w:after="60" w:line="252" w:lineRule="auto"/>
        <w:jc w:val="center"/>
      </w:pPr>
      <w:r>
        <w:rPr>
          <w:rFonts w:ascii="Times New Roman" w:hAnsi="Times New Roman" w:eastAsia="Times New Roman"/>
          <w:b w:val="0"/>
          <w:i/>
        </w:rPr>
        <w:t>Dành cho hộ gia đình, cá nhân - dùng làm tài liệu tuyên truyền/hướng dẫn qua mã QR</w:t>
      </w:r>
    </w:p>
    <w:p>
      <w:pPr>
        <w:spacing w:after="60" w:line="252" w:lineRule="auto"/>
      </w:pPr>
      <w:r>
        <w:rPr>
          <w:rFonts w:ascii="Times New Roman" w:hAnsi="Times New Roman" w:eastAsia="Times New Roman"/>
          <w:b/>
          <w:i w:val="0"/>
        </w:rPr>
        <w:t>BƯỚC 1. Xác định trường hợp khai thác</w:t>
      </w:r>
    </w:p>
    <w:p>
      <w:pPr>
        <w:spacing w:after="60" w:line="252" w:lineRule="auto"/>
      </w:pPr>
      <w:r>
        <w:rPr>
          <w:rFonts w:ascii="Times New Roman" w:hAnsi="Times New Roman" w:eastAsia="Times New Roman"/>
          <w:b w:val="0"/>
          <w:i w:val="0"/>
        </w:rPr>
        <w:t>Đối với rừng sản xuất là rừng trồng, cây rừng trồng ngoài quy hoạch lâm nghiệp, gỗ vườn nhà, cây gỗ trồng phân tán do chủ rừng/chủ lâm sản tự đầu tư hoặc được Nhà nước hỗ trợ: lập Phương án khai thác theo Mẫu số 08 và không phải trình phê duyệt. Các trường hợp khác phải đối chiếu Điều 6 để xác định có phải phê duyệt phương án hay không.</w:t>
      </w:r>
    </w:p>
    <w:p>
      <w:pPr>
        <w:spacing w:after="60" w:line="252" w:lineRule="auto"/>
      </w:pPr>
      <w:r>
        <w:rPr>
          <w:rFonts w:ascii="Times New Roman" w:hAnsi="Times New Roman" w:eastAsia="Times New Roman"/>
          <w:b/>
          <w:i w:val="0"/>
        </w:rPr>
        <w:t>BƯỚC 2. Lập Phương án khai thác</w:t>
      </w:r>
    </w:p>
    <w:p>
      <w:pPr>
        <w:spacing w:after="60" w:line="252" w:lineRule="auto"/>
      </w:pPr>
      <w:r>
        <w:rPr>
          <w:rFonts w:ascii="Times New Roman" w:hAnsi="Times New Roman" w:eastAsia="Times New Roman"/>
          <w:b w:val="0"/>
          <w:i w:val="0"/>
        </w:rPr>
        <w:t>Điền đầy đủ chủ rừng, CCCD, địa chỉ, mã số rừng trồng/chứng chỉ (nếu có), căn cứ, loại rừng/loài cây/năm trồng, lô-khoảnh-tiểu khu-xã, diện tích, tọa độ, phương thức và hình thức khai thác, sản lượng dự kiến, giải pháp phục hồi và thời gian khai thác.</w:t>
      </w:r>
    </w:p>
    <w:p>
      <w:pPr>
        <w:spacing w:after="60" w:line="252" w:lineRule="auto"/>
      </w:pPr>
      <w:r>
        <w:rPr>
          <w:rFonts w:ascii="Times New Roman" w:hAnsi="Times New Roman" w:eastAsia="Times New Roman"/>
          <w:b/>
          <w:i w:val="0"/>
        </w:rPr>
        <w:t>BƯỚC 3. Gửi hồ sơ trước khi khai thác</w:t>
      </w:r>
    </w:p>
    <w:p>
      <w:pPr>
        <w:spacing w:after="60" w:line="252" w:lineRule="auto"/>
      </w:pPr>
      <w:r>
        <w:rPr>
          <w:rFonts w:ascii="Times New Roman" w:hAnsi="Times New Roman" w:eastAsia="Times New Roman"/>
          <w:b w:val="0"/>
          <w:i w:val="0"/>
        </w:rPr>
        <w:t>Trước khi khai thác, gửi 01 bản chính Phương án khai thác đến cơ quan Kiểm lâm sở tại để giám sát đối với trường hợp không phải phê duyệt; trường hợp phải phê duyệt thì gửi bản sao Quyết định và Phương án đã được phê duyệt.</w:t>
      </w:r>
    </w:p>
    <w:p>
      <w:pPr>
        <w:spacing w:after="60" w:line="252" w:lineRule="auto"/>
      </w:pPr>
      <w:r>
        <w:rPr>
          <w:rFonts w:ascii="Times New Roman" w:hAnsi="Times New Roman" w:eastAsia="Times New Roman"/>
          <w:b/>
          <w:i w:val="0"/>
        </w:rPr>
        <w:t>BƯỚC 4. Thực hiện khai thác theo phương án</w:t>
      </w:r>
    </w:p>
    <w:p>
      <w:pPr>
        <w:spacing w:after="60" w:line="252" w:lineRule="auto"/>
      </w:pPr>
      <w:r>
        <w:rPr>
          <w:rFonts w:ascii="Times New Roman" w:hAnsi="Times New Roman" w:eastAsia="Times New Roman"/>
          <w:b w:val="0"/>
          <w:i w:val="0"/>
        </w:rPr>
        <w:t>Khai thác đúng vị trí, diện tích, phương thức, thời gian và sản lượng đã xác định; lưu giữ hồ sơ để phục vụ truy xuất nguồn gốc.</w:t>
      </w:r>
    </w:p>
    <w:p>
      <w:pPr>
        <w:spacing w:after="60" w:line="252" w:lineRule="auto"/>
      </w:pPr>
      <w:r>
        <w:rPr>
          <w:rFonts w:ascii="Times New Roman" w:hAnsi="Times New Roman" w:eastAsia="Times New Roman"/>
          <w:b/>
          <w:i w:val="0"/>
        </w:rPr>
        <w:t>BƯỚC 5. Lập Bảng kê lâm sản sau khai thác</w:t>
      </w:r>
    </w:p>
    <w:p>
      <w:pPr>
        <w:spacing w:after="60" w:line="252" w:lineRule="auto"/>
      </w:pPr>
      <w:r>
        <w:rPr>
          <w:rFonts w:ascii="Times New Roman" w:hAnsi="Times New Roman" w:eastAsia="Times New Roman"/>
          <w:b w:val="0"/>
          <w:i w:val="0"/>
        </w:rPr>
        <w:t>Trong thời hạn 05 ngày làm việc kể từ ngày hoàn thành khai thác, gửi bản chính Bảng kê lâm sản đến cơ quan Kiểm lâm sở tại để theo dõi hoặc xác nhận nếu thuộc trường hợp phải xác nhận.</w:t>
      </w:r>
    </w:p>
    <w:p>
      <w:pPr>
        <w:spacing w:after="60" w:line="252" w:lineRule="auto"/>
      </w:pPr>
      <w:r>
        <w:rPr>
          <w:rFonts w:ascii="Times New Roman" w:hAnsi="Times New Roman" w:eastAsia="Times New Roman"/>
          <w:b/>
          <w:i w:val="0"/>
        </w:rPr>
        <w:t>BƯỚC 6. Nếu thuộc trường hợp xác nhận</w:t>
      </w:r>
    </w:p>
    <w:p>
      <w:pPr>
        <w:spacing w:after="60" w:line="252" w:lineRule="auto"/>
      </w:pPr>
      <w:r>
        <w:rPr>
          <w:rFonts w:ascii="Times New Roman" w:hAnsi="Times New Roman" w:eastAsia="Times New Roman"/>
          <w:b w:val="0"/>
          <w:i w:val="0"/>
        </w:rPr>
        <w:t>Chuẩn bị Đơn đề nghị xác nhận Mẫu số 03, Bảng kê lâm sản Mẫu số 01 và bản sao Phương án khai thác; bổ sung thành phần hồ sơ khác nếu trường hợp cụ thể có yêu cầu.</w:t>
      </w:r>
    </w:p>
    <w:p>
      <w:pPr>
        <w:spacing w:after="60" w:line="252" w:lineRule="auto"/>
      </w:pPr>
      <w:r>
        <w:rPr>
          <w:rFonts w:ascii="Times New Roman" w:hAnsi="Times New Roman" w:eastAsia="Times New Roman"/>
          <w:b/>
          <w:i w:val="0"/>
        </w:rPr>
        <w:t>LƯU Ý PHÁP LÝ</w:t>
      </w:r>
    </w:p>
    <w:p>
      <w:pPr>
        <w:spacing w:after="60" w:line="252" w:lineRule="auto"/>
      </w:pPr>
      <w:r>
        <w:rPr>
          <w:rFonts w:ascii="Times New Roman" w:hAnsi="Times New Roman" w:eastAsia="Times New Roman"/>
          <w:b w:val="0"/>
          <w:i w:val="0"/>
        </w:rPr>
        <w:t>Mẫu số 01 và Mẫu số 08 đã được thay thế bởi Thông tư 84/2025/TT-BNNMT, có hiệu lực từ 01/01/2026. Khi đưa lên trang QR, nên ghi rõ 'biểu mẫu hiện hành' và định kỳ kiểm tra văn bản sửa đổi để tránh người dân sử dụng mẫu cũ.</w:t>
      </w:r>
    </w:p>
    <w:sectPr w:rsidR="00FC693F" w:rsidRPr="0006063C" w:rsidSect="00034616">
      <w:pgSz w:w="12240" w:h="15840"/>
      <w:pgMar w:top="1020" w:right="85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