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The clean citation [1] resolves against the reference list.</w:t>
      </w:r>
    </w:p>
    <w:p>
      <w:r>
        <w:t>The malformed bracket [1, x] must surface as a typed issue, never a crash.</w:t>
      </w:r>
    </w:p>
    <w:p>
      <w:pPr>
        <w:pStyle w:val="Heading1"/>
      </w:pPr>
      <w:r>
        <w:t>References</w:t>
      </w:r>
    </w:p>
    <w:p>
      <w:r>
        <w:t>Junk without a year.</w:t>
      </w:r>
    </w:p>
    <w:p>
      <w:r>
        <w:t>Doe, J. (2017).</w:t>
      </w:r>
    </w:p>
    <w:p>
      <w:r>
        <w:t>Roe, M. (2018).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Failure isolation demo: garbage entry and malformed bracket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Failure isolation demo: garbage entry and malformed bracket</dc:title>
  <dc:creator>CiteSync Fixtures</dc:creator>
  <dcterms:created xsi:type="dcterms:W3CDTF">2024-01-15T10:30:00Z</dcterms:created>
  <dcterms:modified xsi:type="dcterms:W3CDTF">2024-02-20T08:00:00Z</dcterms:modified>
</cp:coreProperties>
</file>