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(Smith, 2020) appears twice with different meanings.</w:t>
      </w:r>
    </w:p>
    <w:p>
      <w:r>
        <w:t>Smith (2020) first proposed the idea; later, Smith (2021) revised it.</w:t>
      </w:r>
    </w:p>
    <w:p>
      <w:r>
        <w:t>Multiple Smith citations (2020; 2021) create ambiguity without context.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ambiguous citations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ambiguous citations</dc:title>
  <dc:creator>CiteSync Fixtures</dc:creator>
  <dcterms:created xsi:type="dcterms:W3CDTF">2024-01-15T10:30:00Z</dcterms:created>
  <dcterms:modified xsi:type="dcterms:W3CDTF">2024-02-20T08:00:00Z</dcterms:modified>
</cp:coreProperties>
</file>