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An anonymous reviewer (n.d.) flagged the unresolved ambiguity.</w:t>
      </w:r>
    </w:p>
    <w:p>
      <w:r>
        <w:t>(Author unknown, n.d.) remains an edge case for the extractor.</w:t>
      </w:r>
    </w:p>
    <w:p>
      <w:r>
        <w:t>Unattributed claims appear throughout the draft.</w:t>
      </w:r>
    </w:p>
  </w:body>
</w:document>
</file>

<file path=word/_rels/document.xml.rels><?xml version="1.0" encoding="UTF-8" standalone="yes"?>
<Relationships xmlns="http://schemas.openxmlformats.org/package/2006/relationships">
  <Relationship Id="rIdStyle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itle>Author-date missing year/author edge cases</Title>
  <Application>CiteSync fixture author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Author-date missing year/author edge cases</dc:title>
  <dc:creator>CiteSync Fixtures</dc:creator>
  <dcterms:created xsi:type="dcterms:W3CDTF">2024-01-15T10:30:00Z</dcterms:created>
  <dcterms:modified xsi:type="dcterms:W3CDTF">2024-02-20T08:00:00Z</dcterms:modified>
</cp:coreProperties>
</file>