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(Duong, Tran, &amp; Le, 2020) compared three extraction pipelines.</w:t>
      </w:r>
    </w:p>
    <w:p>
      <w:r>
        <w:t>Pham and Nguyen (2017) first noted the offset problem.</w:t>
      </w:r>
    </w:p>
    <w:p>
      <w:r>
        <w:t>Ngo, Vu, Hoang, and Bui (2016) traced the issue to run splitting.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multiple-author citations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multiple-author citations</dc:title>
  <dc:creator>CiteSync Fixtures</dc:creator>
  <dcterms:created xsi:type="dcterms:W3CDTF">2024-01-15T10:30:00Z</dcterms:created>
  <dcterms:modified xsi:type="dcterms:W3CDTF">2024-02-20T08:00:00Z</dcterms:modified>
</cp:coreProperties>
</file>