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Literature Review</w:t>
      </w:r>
    </w:p>
    <w:p>
      <w:r>
        <w:t>Smith (2020) argued that citation analysis improves with precise offsets.</w:t>
      </w:r>
    </w:p>
    <w:p>
      <w:r>
        <w:t>Recent work (Nguyen &amp; Tran, 2021) confirms the pattern across corpora.</w:t>
      </w:r>
    </w:p>
    <w:p>
      <w:r>
        <w:t>A later study (Lee, 2019) reached similar conclusions.</w:t>
      </w:r>
    </w:p>
    <w:p>
      <w:r>
        <w:t>See footnote 1 for the supporting argument.</w:t>
      </w:r>
      <w:r>
        <w:rPr>
          <w:rStyle w:val="FootnoteReference"/>
        </w:rPr>
        <w:footnoteReference w:id="1"/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Smith (2020) elaborates on this claim in a footnote.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Author-date simple citations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Author-date simple citations</dc:title>
  <dc:creator>CiteSync Fixtures</dc:creator>
  <dcterms:created xsi:type="dcterms:W3CDTF">2024-01-15T10:30:00Z</dcterms:created>
  <dcterms:modified xsi:type="dcterms:W3CDTF">2024-02-20T08:00:00Z</dcterms:modified>
</cp:coreProperties>
</file>