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Introduction</w:t>
      </w:r>
    </w:p>
    <w:p>
      <w:r>
        <w:t>This paper explores citation extraction in academic documents.</w:t>
      </w:r>
    </w:p>
    <w:p>
      <w:r>
        <w:t>Recent work (Doe, 2017) highlights the role of weighted signals.</w:t>
      </w:r>
    </w:p>
    <w:p>
      <w:pPr>
        <w:pStyle w:val="Heading1"/>
      </w:pPr>
      <w:r>
        <w:t>References</w:t>
      </w:r>
    </w:p>
    <w:p>
      <w:r>
        <w:t>See the appendix for further discussion.</w:t>
      </w:r>
    </w:p>
    <w:p>
      <w:r>
        <w:t>The authors welcome feedback on the extraction pipeline.</w:t>
      </w:r>
    </w:p>
    <w:p>
      <w:r>
        <w:t>Acknowledgments: funded by the research council.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itle>References heading with non-reference content</Title>
  <Application>CiteSync fixture author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 heading with non-reference content</dc:title>
  <dc:creator>CiteSync Fixtures</dc:creator>
  <dcterms:created xsi:type="dcterms:W3CDTF">2024-01-15T10:30:00Z</dcterms:created>
  <dcterms:modified xsi:type="dcterms:W3CDTF">2024-02-20T08:00:00Z</dcterms:modified>
</cp:coreProperties>
</file>