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This draft discusses extraction quality without any reference list.</w:t>
      </w:r>
    </w:p>
    <w:p>
      <w:r>
        <w:t>Smith (2020) noted that offset precision drives extraction quality.</w:t>
      </w:r>
    </w:p>
    <w:p>
      <w:r>
        <w:t>Recent work (Nguyen &amp; Tran, 2021) extended the approach to structured fields.</w:t>
      </w:r>
    </w:p>
    <w:p>
      <w:r>
        <w:t>The authors plan to add a bibliography in a future revision.</w:t>
      </w:r>
    </w:p>
  </w:body>
</w:document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Narrative draft without a bibliography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Narrative draft without a bibliography</dc:title>
  <dc:creator>CiteSync Fixtures</dc:creator>
  <dcterms:created xsi:type="dcterms:W3CDTF">2024-01-15T10:30:00Z</dcterms:created>
  <dcterms:modified xsi:type="dcterms:W3CDTF">2024-02-20T08:00:00Z</dcterms:modified>
</cp:coreProperties>
</file>