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References</w:t>
      </w:r>
    </w:p>
    <w:p>
      <w:r>
        <w:t>According to Johnson (2018), structured citation data improves reproducibility.</w:t>
      </w:r>
    </w:p>
    <w:p>
      <w:r>
        <w:t>Multiple studies (Doe, 2017; Roe, 2019) reached the same conclusion.</w:t>
      </w:r>
    </w:p>
    <w:p>
      <w:r>
        <w:t>Doe, J. (2017). Citation practice in digital documents. Journal of Citation Science, 12(3), 45-60.</w:t>
      </w:r>
    </w:p>
    <w:p>
      <w:r>
        <w:t>Johnson, A. (2018). Structured citations. Cambridge University Press.</w:t>
      </w:r>
    </w:p>
    <w:p>
      <w:r>
        <w:t>Roe, M. (2019). Offsets and evidence. ACM Computing Surveys, 51(2), 1-30.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APA-like paper with reference list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APA-like paper with reference list</dc:title>
  <dc:creator>CiteSync Fixtures</dc:creator>
  <dcterms:created xsi:type="dcterms:W3CDTF">2024-01-15T10:30:00Z</dcterms:created>
  <dcterms:modified xsi:type="dcterms:W3CDTF">2024-02-20T08:00:00Z</dcterms:modified>
</cp:coreProperties>
</file>