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Literature Review</w:t>
      </w:r>
    </w:p>
    <w:p>
      <w:r>
        <w:t>Smith, J. (2019) analyzed citation persistence across repositories.</w:t>
      </w:r>
    </w:p>
    <w:p>
      <w:pPr>
        <w:pStyle w:val="Heading1"/>
      </w:pPr>
      <w:r>
        <w:t>References</w:t>
      </w:r>
    </w:p>
    <w:p>
      <w:r>
        <w:t>Smith, P. (2019). Citation persistence in digital repositories. Journal of Citation Science, 5(2), 30-44.</w:t>
      </w:r>
    </w:p>
    <w:p>
      <w:r>
        <w:t>Roe, M. (2017). Repository archiving practices. ACM Computing Surveys, 49(1), 1-18.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Near miss — same surname, contradicting given initial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Near miss — same surname, contradicting given initial</dc:title>
  <dc:creator>CiteSync Fixtures</dc:creator>
  <dcterms:created xsi:type="dcterms:W3CDTF">2024-01-15T10:30:00Z</dcterms:created>
  <dcterms:modified xsi:type="dcterms:W3CDTF">2024-02-20T08:00:00Z</dcterms:modified>
</cp:coreProperties>
</file>