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Literature Review</w:t>
      </w:r>
    </w:p>
    <w:p>
      <w:r>
        <w:t>Smith (2020) appears in two separate works with identical authorship and year.</w:t>
      </w:r>
    </w:p>
    <w:p>
      <w:pPr>
        <w:pStyle w:val="Heading1"/>
      </w:pPr>
      <w:r>
        <w:t>References</w:t>
      </w:r>
    </w:p>
    <w:p>
      <w:r>
        <w:t>Smith, J. (2020). First book on citation analysis. Journal of Citation Science, 1(1), 1-10.</w:t>
      </w:r>
    </w:p>
    <w:p>
      <w:r>
        <w:t>Smith, J. (2020). Second book on citation analysis. Journal of Citation Science, 1(2), 11-20.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Ambiguous — same author, same year, two works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Ambiguous — same author, same year, two works</dc:title>
  <dc:creator>CiteSync Fixtures</dc:creator>
  <dcterms:created xsi:type="dcterms:W3CDTF">2024-01-15T10:30:00Z</dcterms:created>
  <dcterms:modified xsi:type="dcterms:W3CDTF">2024-02-20T08:00:00Z</dcterms:modified>
</cp:coreProperties>
</file>