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Literature Review</w:t>
      </w:r>
    </w:p>
    <w:p>
      <w:r>
        <w:t>Doe (2018) described citation practices in digital archives.</w:t>
      </w:r>
    </w:p>
    <w:p>
      <w:r>
        <w:t>(Doe, 2021) extended that analysis with new evidence.</w:t>
      </w:r>
    </w:p>
    <w:p>
      <w:pPr>
        <w:pStyle w:val="Heading1"/>
      </w:pPr>
      <w:r>
        <w:t>References</w:t>
      </w:r>
    </w:p>
    <w:p>
      <w:r>
        <w:t>Doe, J. (2018). Citation practices in digital archives. Journal of Citation Science, 9(1), 10-22.</w:t>
      </w:r>
    </w:p>
    <w:p>
      <w:r>
        <w:t>Doe, J. (2021). Advances in digital citation analysis. Journal of Citation Science, 12(4), 100-115.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Same author, two years — year-weight calibration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Same author, two years — year-weight calibration</dc:title>
  <dc:creator>CiteSync Fixtures</dc:creator>
  <dcterms:created xsi:type="dcterms:W3CDTF">2024-01-15T10:30:00Z</dcterms:created>
  <dcterms:modified xsi:type="dcterms:W3CDTF">2024-02-20T08:00:00Z</dcterms:modified>
</cp:coreProperties>
</file>