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Related Work</w:t>
      </w:r>
    </w:p>
    <w:p>
      <w:r>
        <w:t>Adjacent brackets [1][2,3] cluster; a trailing [4] completes the set.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Roe, M. (2018). Evidence synthesis in citation analysis. ACM Computing Surveys, 50(2), 1-25.</w:t>
      </w:r>
    </w:p>
    <w:p>
      <w:r>
        <w:t>Lee, K. (2019). Methodological notes on reference mapping. Journal of Citation Science, 11(1), 30-48.</w:t>
      </w:r>
    </w:p>
    <w:p>
      <w:r>
        <w:t>Tran, B. (2020). Case studies in structured citation pipelines. IEEE Transactions on Documentation, 14(2), 90-110.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Multiple adjacent numeric brackets [1][2,3] and trailing [4]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adjacent numeric brackets [1][2,3] and trailing [4]</dc:title>
  <dc:creator>CiteSync Fixtures</dc:creator>
  <dcterms:created xsi:type="dcterms:W3CDTF">2024-01-15T10:30:00Z</dcterms:created>
  <dcterms:modified xsi:type="dcterms:W3CDTF">2024-02-20T08:00:00Z</dcterms:modified>
</cp:coreProperties>
</file>