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3A2DF1">
      <w:pPr>
        <w:spacing w:after="200"/>
        <w:jc w:val="center"/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THIẾT KẾ DIKW CHO ỨNG DỤNG “MOMO-LITE”</w:t>
      </w:r>
    </w:p>
    <w:p w14:paraId="30EB0448">
      <w:pPr>
        <w:keepNext/>
        <w:spacing w:before="240" w:after="12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1. Bốn tầng </w:t>
      </w:r>
      <w:bookmarkStart w:id="0" w:name="_GoBack"/>
      <w:bookmarkEnd w:id="0"/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DIKW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50"/>
        <w:gridCol w:w="3400"/>
        <w:gridCol w:w="3676"/>
      </w:tblGrid>
      <w:tr w14:paraId="3B76DC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5399AF"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  <w:t>Tầng</w:t>
            </w:r>
          </w:p>
        </w:tc>
        <w:tc>
          <w:tcPr>
            <w:tcW w:w="3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25E7D7"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  <w:t>Nội dung</w:t>
            </w:r>
          </w:p>
        </w:tc>
        <w:tc>
          <w:tcPr>
            <w:tcW w:w="367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04DBC"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  <w:t>Ví dụ</w:t>
            </w:r>
          </w:p>
        </w:tc>
      </w:tr>
      <w:tr w14:paraId="5BE263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A22A6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Data</w:t>
            </w:r>
          </w:p>
        </w:tc>
        <w:tc>
          <w:tcPr>
            <w:tcW w:w="3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CAFC21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Bản ghi giao dịch thô</w:t>
            </w:r>
          </w:p>
        </w:tc>
        <w:tc>
          <w:tcPr>
            <w:tcW w:w="367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9EE6E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U01, 12:30, 45.000đ, Ăn uống</w:t>
            </w:r>
          </w:p>
        </w:tc>
      </w:tr>
      <w:tr w14:paraId="6B9EB2E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3D238C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Information</w:t>
            </w:r>
          </w:p>
        </w:tc>
        <w:tc>
          <w:tcPr>
            <w:tcW w:w="3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340F82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Báo cáo chi tiêu tháng (tổng hợp theo danh mục)</w:t>
            </w:r>
          </w:p>
        </w:tc>
        <w:tc>
          <w:tcPr>
            <w:tcW w:w="367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68C38C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Tháng 9 chi 8,5 triệu: ăn uống 40%, di chuyển 25%, mua sắm 35%</w:t>
            </w:r>
          </w:p>
        </w:tc>
      </w:tr>
      <w:tr w14:paraId="7614554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AA2340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Knowledge</w:t>
            </w:r>
          </w:p>
        </w:tc>
        <w:tc>
          <w:tcPr>
            <w:tcW w:w="3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9DDBF38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Quy luật, cảnh báo chi tiêu quá mức</w:t>
            </w:r>
          </w:p>
        </w:tc>
        <w:tc>
          <w:tcPr>
            <w:tcW w:w="367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0D27E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Chi tiêu vượt 90% ngân sách thì cảnh báo</w:t>
            </w:r>
          </w:p>
        </w:tc>
      </w:tr>
      <w:tr w14:paraId="353CC9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E43F9D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Wisdom</w:t>
            </w:r>
          </w:p>
        </w:tc>
        <w:tc>
          <w:tcPr>
            <w:tcW w:w="34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62A5C8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Gợi ý kế hoạch tiết kiệm</w:t>
            </w:r>
          </w:p>
        </w:tc>
        <w:tc>
          <w:tcPr>
            <w:tcW w:w="367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3FBCA6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Giảm 15% mua sắm, tự chuyển 1 triệu/tháng vào quỹ tiết kiệm</w:t>
            </w:r>
          </w:p>
        </w:tc>
      </w:tr>
    </w:tbl>
    <w:p w14:paraId="4E732413">
      <w:pPr>
        <w:keepNext/>
        <w:spacing w:before="240" w:after="12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>2. Module Input / Process / Output</w:t>
      </w:r>
    </w:p>
    <w:tbl>
      <w:tblPr>
        <w:tblStyle w:val="9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50"/>
        <w:gridCol w:w="2300"/>
        <w:gridCol w:w="2600"/>
        <w:gridCol w:w="2176"/>
      </w:tblGrid>
      <w:tr w14:paraId="2C7D70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DD509D"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  <w:t>Tầng</w:t>
            </w:r>
          </w:p>
        </w:tc>
        <w:tc>
          <w:tcPr>
            <w:tcW w:w="2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10432D"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  <w:t>Input</w:t>
            </w:r>
          </w:p>
        </w:tc>
        <w:tc>
          <w:tcPr>
            <w:tcW w:w="26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717F1"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  <w:t>Process</w:t>
            </w:r>
          </w:p>
        </w:tc>
        <w:tc>
          <w:tcPr>
            <w:tcW w:w="217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shd w:val="clear" w:color="auto" w:fill="D9E2F3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4DC9609">
            <w:r>
              <w:rPr>
                <w:rFonts w:ascii="Times New Roman" w:hAnsi="Times New Roman" w:eastAsia="Times New Roman" w:cs="Times New Roman"/>
                <w:b/>
                <w:bCs/>
                <w:sz w:val="28"/>
                <w:szCs w:val="28"/>
              </w:rPr>
              <w:t>Output</w:t>
            </w:r>
          </w:p>
        </w:tc>
      </w:tr>
      <w:tr w14:paraId="1C43A6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2B4DAB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Data</w:t>
            </w:r>
          </w:p>
        </w:tc>
        <w:tc>
          <w:tcPr>
            <w:tcW w:w="2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6E3735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Thanh toán, chuyển/nạp tiền, webhook ngân hàng</w:t>
            </w:r>
          </w:p>
        </w:tc>
        <w:tc>
          <w:tcPr>
            <w:tcW w:w="26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2CB5BF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Xác thực, chuẩn hóa, loại trùng, gán danh mục</w:t>
            </w:r>
          </w:p>
        </w:tc>
        <w:tc>
          <w:tcPr>
            <w:tcW w:w="217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6A779F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Bản ghi sạch trong CSDL</w:t>
            </w:r>
          </w:p>
        </w:tc>
      </w:tr>
      <w:tr w14:paraId="6D0E2F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35B6ED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Information</w:t>
            </w:r>
          </w:p>
        </w:tc>
        <w:tc>
          <w:tcPr>
            <w:tcW w:w="2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E80389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Bảng giao dịch sạch</w:t>
            </w:r>
          </w:p>
        </w:tc>
        <w:tc>
          <w:tcPr>
            <w:tcW w:w="26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FB11E7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Nhóm theo tháng/danh mục, tính tổng, tỷ lệ %</w:t>
            </w:r>
          </w:p>
        </w:tc>
        <w:tc>
          <w:tcPr>
            <w:tcW w:w="217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FC080E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Báo cáo chi tiêu tháng</w:t>
            </w:r>
          </w:p>
        </w:tc>
      </w:tr>
      <w:tr w14:paraId="110165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E113F71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Knowledge</w:t>
            </w:r>
          </w:p>
        </w:tc>
        <w:tc>
          <w:tcPr>
            <w:tcW w:w="2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E30687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Báo cáo, lịch sử, ngân sách</w:t>
            </w:r>
          </w:p>
        </w:tc>
        <w:tc>
          <w:tcPr>
            <w:tcW w:w="26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58E9695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Rule engine: chi tiêu &gt; 90% ngân sách thì cảnh báo</w:t>
            </w:r>
          </w:p>
        </w:tc>
        <w:tc>
          <w:tcPr>
            <w:tcW w:w="217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6594C1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Push notification cảnh báo</w:t>
            </w:r>
          </w:p>
        </w:tc>
      </w:tr>
      <w:tr w14:paraId="7C75B6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95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D58F00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Wisdom</w:t>
            </w:r>
          </w:p>
        </w:tc>
        <w:tc>
          <w:tcPr>
            <w:tcW w:w="23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FBBE04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Tri thức, mục tiêu, thu nhập</w:t>
            </w:r>
          </w:p>
        </w:tc>
        <w:tc>
          <w:tcPr>
            <w:tcW w:w="2600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2A9D78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Mô hình gợi ý, mô phỏng tiết kiệm</w:t>
            </w:r>
          </w:p>
        </w:tc>
        <w:tc>
          <w:tcPr>
            <w:tcW w:w="2176" w:type="dxa"/>
            <w:tcBorders>
              <w:top w:val="single" w:color="808080" w:sz="4" w:space="0"/>
              <w:left w:val="single" w:color="808080" w:sz="4" w:space="0"/>
              <w:bottom w:val="single" w:color="808080" w:sz="4" w:space="0"/>
              <w:right w:val="single" w:color="808080" w:sz="4" w:space="0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74B476">
            <w:r>
              <w:rPr>
                <w:rFonts w:ascii="Times New Roman" w:hAnsi="Times New Roman" w:eastAsia="Times New Roman" w:cs="Times New Roman"/>
                <w:b w:val="0"/>
                <w:bCs w:val="0"/>
                <w:sz w:val="28"/>
                <w:szCs w:val="28"/>
              </w:rPr>
              <w:t>Kế hoạch tiết kiệm cá nhân hóa</w:t>
            </w:r>
          </w:p>
        </w:tc>
      </w:tr>
    </w:tbl>
    <w:p w14:paraId="3D96B309">
      <w:pPr>
        <w:spacing w:after="100"/>
      </w:pPr>
    </w:p>
    <w:p w14:paraId="5C6FB812">
      <w:pPr>
        <w:spacing w:after="100"/>
      </w:pPr>
      <w:r>
        <w:rPr>
          <w:rFonts w:ascii="Times New Roman" w:hAnsi="Times New Roman" w:eastAsia="Times New Roman" w:cs="Times New Roman"/>
          <w:b/>
          <w:bCs/>
          <w:sz w:val="28"/>
          <w:szCs w:val="28"/>
        </w:rPr>
        <w:t xml:space="preserve">Luồng: </w:t>
      </w:r>
      <w:r>
        <w:rPr>
          <w:rFonts w:ascii="Times New Roman" w:hAnsi="Times New Roman" w:eastAsia="Times New Roman" w:cs="Times New Roman"/>
          <w:sz w:val="28"/>
          <w:szCs w:val="28"/>
        </w:rPr>
        <w:t>Giao dịch → Data → Information → Knowledge → Wisdom → phản hồi người dùng quay lại thành dữ liệu mới.</w:t>
      </w:r>
    </w:p>
    <w:sectPr>
      <w:pgSz w:w="11906" w:h="16838"/>
      <w:pgMar w:top="1134" w:right="1134" w:bottom="1134" w:left="1701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oNotDisplayPageBoundaries w:val="1"/>
  <w:displayBackgroundShape w:val="1"/>
  <w:documentProtection w:enforcement="0"/>
  <w:compat>
    <w:compatSetting w:name="compatibilityMode" w:uri="http://schemas.microsoft.com/office/word" w:val="15"/>
  </w:compat>
  <w:rsids>
    <w:rsidRoot w:val="00000000"/>
    <w:rsid w:val="14C05BF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Times New Roma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eastAsia="Times New Roman" w:cs="Times New Roman"/>
      <w:sz w:val="28"/>
      <w:szCs w:val="28"/>
    </w:rPr>
  </w:style>
  <w:style w:type="paragraph" w:styleId="2">
    <w:name w:val="heading 1"/>
    <w:next w:val="1"/>
    <w:qFormat/>
    <w:uiPriority w:val="0"/>
    <w:rPr>
      <w:rFonts w:ascii="Times New Roman" w:hAnsi="Times New Roman" w:eastAsia="Times New Roman" w:cs="Times New Roman"/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rFonts w:ascii="Times New Roman" w:hAnsi="Times New Roman" w:eastAsia="Times New Roman" w:cs="Times New Roman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Times New Roman" w:hAnsi="Times New Roman" w:eastAsia="Times New Roman" w:cs="Times New Roman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Times New Roman" w:hAnsi="Times New Roman" w:eastAsia="Times New Roman" w:cs="Times New Roman"/>
      <w:i/>
      <w:iCs/>
      <w:color w:val="2E74B5"/>
      <w:sz w:val="28"/>
      <w:szCs w:val="28"/>
    </w:rPr>
  </w:style>
  <w:style w:type="paragraph" w:styleId="6">
    <w:name w:val="heading 5"/>
    <w:next w:val="1"/>
    <w:qFormat/>
    <w:uiPriority w:val="0"/>
    <w:rPr>
      <w:rFonts w:ascii="Times New Roman" w:hAnsi="Times New Roman" w:eastAsia="Times New Roman" w:cs="Times New Roman"/>
      <w:color w:val="2E74B5"/>
      <w:sz w:val="28"/>
      <w:szCs w:val="28"/>
    </w:rPr>
  </w:style>
  <w:style w:type="paragraph" w:styleId="7">
    <w:name w:val="heading 6"/>
    <w:next w:val="1"/>
    <w:qFormat/>
    <w:uiPriority w:val="0"/>
    <w:rPr>
      <w:rFonts w:ascii="Times New Roman" w:hAnsi="Times New Roman" w:eastAsia="Times New Roman" w:cs="Times New Roman"/>
      <w:color w:val="1F4D78"/>
      <w:sz w:val="28"/>
      <w:szCs w:val="28"/>
    </w:rPr>
  </w:style>
  <w:style w:type="character" w:default="1" w:styleId="8">
    <w:name w:val="Default Paragraph Font"/>
    <w:semiHidden/>
    <w:uiPriority w:val="0"/>
  </w:style>
  <w:style w:type="table" w:default="1" w:styleId="9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8"/>
    <w:semiHidden/>
    <w:unhideWhenUsed/>
    <w:qFormat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7"/>
    <w:semiHidden/>
    <w:unhideWhenUsed/>
    <w:qFormat/>
    <w:uiPriority w:val="99"/>
    <w:pPr>
      <w:spacing w:after="0" w:line="240" w:lineRule="auto"/>
    </w:pPr>
    <w:rPr>
      <w:rFonts w:ascii="Times New Roman" w:hAnsi="Times New Roman" w:eastAsia="Times New Roman" w:cs="Times New Roman"/>
      <w:sz w:val="20"/>
      <w:szCs w:val="20"/>
    </w:rPr>
  </w:style>
  <w:style w:type="character" w:styleId="14">
    <w:name w:val="Hyperlink"/>
    <w:unhideWhenUsed/>
    <w:qFormat/>
    <w:uiPriority w:val="99"/>
    <w:rPr>
      <w:color w:val="0563C1"/>
      <w:u w:val="single"/>
    </w:rPr>
  </w:style>
  <w:style w:type="paragraph" w:styleId="15">
    <w:name w:val="Title"/>
    <w:qFormat/>
    <w:uiPriority w:val="0"/>
    <w:rPr>
      <w:rFonts w:ascii="Times New Roman" w:hAnsi="Times New Roman" w:eastAsia="Times New Roman" w:cs="Times New Roman"/>
      <w:sz w:val="56"/>
      <w:szCs w:val="56"/>
    </w:rPr>
  </w:style>
  <w:style w:type="paragraph" w:styleId="16">
    <w:name w:val="List Paragraph"/>
    <w:qFormat/>
    <w:uiPriority w:val="0"/>
    <w:rPr>
      <w:rFonts w:ascii="Times New Roman" w:hAnsi="Times New Roman" w:eastAsia="Times New Roman" w:cs="Times New Roman"/>
      <w:sz w:val="28"/>
      <w:szCs w:val="28"/>
    </w:rPr>
  </w:style>
  <w:style w:type="character" w:customStyle="1" w:styleId="17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8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400</Words>
  <Characters>1603</Characters>
  <TotalTime>0</TotalTime>
  <ScaleCrop>false</ScaleCrop>
  <LinksUpToDate>false</LinksUpToDate>
  <CharactersWithSpaces>1946</CharactersWithSpaces>
  <Application>WPS Office_12.1.0.28485_F1E327BC-269C-435d-A152-05C5408002CA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2026-10-05T18:01:00Z</dcterms:created>
  <dc:creator>Un-named</dc:creator>
  <cp:lastModifiedBy>Phát Nguyễn Thành</cp:lastModifiedBy>
  <dcterms:modified xsi:type="dcterms:W3CDTF">2026-10-05T18:04:47Z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eyJoZGlkIjoiYjkyZTkwOThjZGFlYmY0NThkMzlkZDhhNjk3ZmE3MGQiLCJ1c2VySWQiOiIxMzkyMDQ2ODE0Njk4In0=</vt:lpwstr>
  </property>
  <property fmtid="{D5CDD505-2E9C-101B-9397-08002B2CF9AE}" pid="3" name="KSOProductBuildVer">
    <vt:lpwstr>1033-12.1.0.28485</vt:lpwstr>
  </property>
  <property fmtid="{D5CDD505-2E9C-101B-9397-08002B2CF9AE}" pid="4" name="ICV">
    <vt:lpwstr>E23623A9F1B74EAF8AF2E81156BF1134_12</vt:lpwstr>
  </property>
</Properties>
</file>