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271"/>
        <w:gridCol w:w="7089"/>
      </w:tblGrid>
      <w:tr w:rsidR="003E603E" w:rsidRPr="003E603E" w:rsidTr="003E603E">
        <w:trPr>
          <w:tblCellSpacing w:w="30" w:type="dxa"/>
        </w:trPr>
        <w:tc>
          <w:tcPr>
            <w:tcW w:w="1153" w:type="pct"/>
            <w:tcMar>
              <w:top w:w="57" w:type="dxa"/>
              <w:left w:w="108" w:type="dxa"/>
              <w:bottom w:w="57"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CHÍNH PHỦ</w:t>
            </w:r>
            <w:r w:rsidRPr="003E603E">
              <w:rPr>
                <w:rFonts w:ascii="Times New Roman" w:eastAsia="Times New Roman" w:hAnsi="Times New Roman" w:cs="Times New Roman"/>
                <w:b/>
                <w:bCs/>
                <w:sz w:val="24"/>
                <w:szCs w:val="24"/>
              </w:rPr>
              <w:br/>
              <w:t>********</w:t>
            </w:r>
          </w:p>
        </w:tc>
        <w:tc>
          <w:tcPr>
            <w:tcW w:w="3701" w:type="pct"/>
            <w:tcMar>
              <w:top w:w="57" w:type="dxa"/>
              <w:left w:w="108" w:type="dxa"/>
              <w:bottom w:w="57"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CỘNG HOÀ XÃ HỘI CHỦ NGHĨA VIỆT NAM</w:t>
            </w:r>
            <w:r w:rsidRPr="003E603E">
              <w:rPr>
                <w:rFonts w:ascii="Times New Roman" w:eastAsia="Times New Roman" w:hAnsi="Times New Roman" w:cs="Times New Roman"/>
                <w:b/>
                <w:bCs/>
                <w:sz w:val="24"/>
                <w:szCs w:val="24"/>
              </w:rPr>
              <w:br/>
              <w:t>Độc lập - Tự do - Hạnh phúc</w:t>
            </w:r>
            <w:r w:rsidRPr="003E603E">
              <w:rPr>
                <w:rFonts w:ascii="Times New Roman" w:eastAsia="Times New Roman" w:hAnsi="Times New Roman" w:cs="Times New Roman"/>
                <w:b/>
                <w:bCs/>
                <w:sz w:val="24"/>
                <w:szCs w:val="24"/>
              </w:rPr>
              <w:br/>
              <w:t>********</w:t>
            </w:r>
          </w:p>
        </w:tc>
      </w:tr>
      <w:tr w:rsidR="003E603E" w:rsidRPr="003E603E" w:rsidTr="003E603E">
        <w:trPr>
          <w:tblCellSpacing w:w="30" w:type="dxa"/>
        </w:trPr>
        <w:tc>
          <w:tcPr>
            <w:tcW w:w="1153" w:type="pct"/>
            <w:tcMar>
              <w:top w:w="57" w:type="dxa"/>
              <w:left w:w="108" w:type="dxa"/>
              <w:bottom w:w="57"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Số: 5-CP</w:t>
            </w:r>
          </w:p>
        </w:tc>
        <w:tc>
          <w:tcPr>
            <w:tcW w:w="3701" w:type="pct"/>
            <w:tcMar>
              <w:top w:w="57" w:type="dxa"/>
              <w:left w:w="108" w:type="dxa"/>
              <w:bottom w:w="57"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i/>
                <w:iCs/>
                <w:sz w:val="24"/>
                <w:szCs w:val="24"/>
              </w:rPr>
              <w:t>Hà Nội, ngày 26 tháng 1 năm 1994</w:t>
            </w:r>
          </w:p>
        </w:tc>
      </w:tr>
    </w:tbl>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 </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NGHỊ ĐỊNH</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CỦA CHÍNH PHỦ SỐ 5-CP NGÀY 26-1-1994 QUY ĐỊNH TẠM THỜI VIỆC THỰC HIỆN MỨC LƯƠNG MỚI ĐỐI VỚI NGƯỜI ĐƯƠNG NHIỆM TRONG CÁC CƠ QUAN CỦA NHÀ NƯỚC, ĐẢNG, ĐOÀN THỂ, LỰC LƯỢNG VŨ TRANG VÀ TRONG CÁC DOANH NGHIỆP; ĐIỀU CHỈNH MỨC LƯƠNG HƯU, MỨC TRỢ CẤP ĐỐI VỚI CÁC ĐỐI TƯỢNG CHÍNH SÁCH XÃ HỘI</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 xml:space="preserve">CHÍNH PHỦ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i/>
          <w:iCs/>
          <w:sz w:val="24"/>
          <w:szCs w:val="24"/>
        </w:rPr>
        <w:t>Căn cứ Luật Tổ chức Chính phủ ngày 30 tháng 9 năm 1992;</w:t>
      </w:r>
      <w:r w:rsidRPr="003E603E">
        <w:rPr>
          <w:rFonts w:ascii="Times New Roman" w:eastAsia="Times New Roman" w:hAnsi="Times New Roman" w:cs="Times New Roman"/>
          <w:i/>
          <w:iCs/>
          <w:sz w:val="24"/>
          <w:szCs w:val="24"/>
        </w:rPr>
        <w:br/>
        <w:t>Căn cứ Nghị quyết số 35-NQ/UBTVQHK9 ngày 17-5-1993 của Uỷ ban Thường vụ Quốc hội khoá IX; Quyết định số 69-QĐ/TW ngày 17-5-1993 của Ban Bí thư; Nghị định số 25-CP ngày 23-5-1993 của Chính phủ qui định tạm thời chế độ tiền lương mới của công chức, viên chức hành chính, sự nghiệp và lực lượng vũ trang; Nghị định số 26-CP ngày 23-5-1993 của Chính phủ quy định tạm thời chế độ tiền lương mới trong các doanh nghiệp; Nghị định 27-CP ngày 23-5-1993 của Chính phủ quy định tạm thời việc điều chỉnh mức lương hưu và mức trợ cấp đối với các đối tượng hưởng chính sách xã hội;</w:t>
      </w:r>
      <w:r w:rsidRPr="003E603E">
        <w:rPr>
          <w:rFonts w:ascii="Times New Roman" w:eastAsia="Times New Roman" w:hAnsi="Times New Roman" w:cs="Times New Roman"/>
          <w:i/>
          <w:iCs/>
          <w:sz w:val="24"/>
          <w:szCs w:val="24"/>
        </w:rPr>
        <w:br/>
        <w:t xml:space="preserve">Theo đề nghị của Bộ trưởng Bộ Lao động - Thương binh và Xã hội, </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 xml:space="preserve">NGHỊ </w:t>
      </w:r>
      <w:proofErr w:type="gramStart"/>
      <w:r w:rsidRPr="003E603E">
        <w:rPr>
          <w:rFonts w:ascii="Times New Roman" w:eastAsia="Times New Roman" w:hAnsi="Times New Roman" w:cs="Times New Roman"/>
          <w:b/>
          <w:bCs/>
          <w:sz w:val="24"/>
          <w:szCs w:val="24"/>
        </w:rPr>
        <w:t>ĐỊNH :</w:t>
      </w:r>
      <w:proofErr w:type="gramEnd"/>
      <w:r w:rsidRPr="003E603E">
        <w:rPr>
          <w:rFonts w:ascii="Times New Roman" w:eastAsia="Times New Roman" w:hAnsi="Times New Roman" w:cs="Times New Roman"/>
          <w:b/>
          <w:bCs/>
          <w:sz w:val="24"/>
          <w:szCs w:val="24"/>
        </w:rPr>
        <w:t xml:space="preserve">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Điều 1</w:t>
      </w:r>
      <w:proofErr w:type="gramStart"/>
      <w:r w:rsidRPr="003E603E">
        <w:rPr>
          <w:rFonts w:ascii="Times New Roman" w:eastAsia="Times New Roman" w:hAnsi="Times New Roman" w:cs="Times New Roman"/>
          <w:b/>
          <w:bCs/>
          <w:sz w:val="24"/>
          <w:szCs w:val="24"/>
        </w:rPr>
        <w:t>.</w:t>
      </w:r>
      <w:r w:rsidRPr="003E603E">
        <w:rPr>
          <w:rFonts w:ascii="Times New Roman" w:eastAsia="Times New Roman" w:hAnsi="Times New Roman" w:cs="Times New Roman"/>
          <w:sz w:val="24"/>
          <w:szCs w:val="24"/>
        </w:rPr>
        <w:t>-</w:t>
      </w:r>
      <w:proofErr w:type="gramEnd"/>
      <w:r w:rsidRPr="003E603E">
        <w:rPr>
          <w:rFonts w:ascii="Times New Roman" w:eastAsia="Times New Roman" w:hAnsi="Times New Roman" w:cs="Times New Roman"/>
          <w:sz w:val="24"/>
          <w:szCs w:val="24"/>
        </w:rPr>
        <w:t xml:space="preserve"> Nay thực hiện đủ mức tiền lương tối thiếu 120.000 đồng/tháng. Mức lương tối thiểu này làm căn cứ để tính lại các mức lương và phụ cấp theo hệ số mức lương, hệ số các mức phụ cấp lương quy định tại Nghị quyết số 35-NQ/UBTVQHK9 ngày 17-5-1993 của Uỷ ban Thường vụ Quốc hội, Quyết định số 69-QĐ/TW ngày 17-5-1993 của Ban Bí thư; Nghị định số 25- CP và Nghị định số 26-CP ngày 23-5-1993 của Chính phủ.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bookmarkStart w:id="0" w:name="dieu_2"/>
      <w:r w:rsidRPr="003E603E">
        <w:rPr>
          <w:rFonts w:ascii="Times New Roman" w:eastAsia="Times New Roman" w:hAnsi="Times New Roman" w:cs="Times New Roman"/>
          <w:b/>
          <w:bCs/>
          <w:sz w:val="24"/>
          <w:szCs w:val="24"/>
        </w:rPr>
        <w:t>Điều 2</w:t>
      </w:r>
      <w:proofErr w:type="gramStart"/>
      <w:r w:rsidRPr="003E603E">
        <w:rPr>
          <w:rFonts w:ascii="Times New Roman" w:eastAsia="Times New Roman" w:hAnsi="Times New Roman" w:cs="Times New Roman"/>
          <w:b/>
          <w:bCs/>
          <w:sz w:val="24"/>
          <w:szCs w:val="24"/>
        </w:rPr>
        <w:t>.</w:t>
      </w:r>
      <w:r w:rsidRPr="003E603E">
        <w:rPr>
          <w:rFonts w:ascii="Times New Roman" w:eastAsia="Times New Roman" w:hAnsi="Times New Roman" w:cs="Times New Roman"/>
          <w:sz w:val="24"/>
          <w:szCs w:val="24"/>
        </w:rPr>
        <w:t>-</w:t>
      </w:r>
      <w:proofErr w:type="gramEnd"/>
      <w:r w:rsidRPr="003E603E">
        <w:rPr>
          <w:rFonts w:ascii="Times New Roman" w:eastAsia="Times New Roman" w:hAnsi="Times New Roman" w:cs="Times New Roman"/>
          <w:sz w:val="24"/>
          <w:szCs w:val="24"/>
        </w:rPr>
        <w:t xml:space="preserve"> Nay điều chỉnh mức lương hưu và mức trợ cấp đối với các đối tượng hưởng chính sách xã hội theo Nghị định số 27/CP ngày 23-5-1993 của Chính phủ như sau :</w:t>
      </w:r>
      <w:bookmarkEnd w:id="0"/>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1. Lương hưu và trợ cấp mất sức lao động hàng tháng của công nhân viên chức được điều chỉnh bằng 135% đến 175% của mức hiện hưởng.</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2. Lương hưu quân nhân được điều chỉnh bằng 192% mức hiện hưởng</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lastRenderedPageBreak/>
        <w:t>Các mức điều chỉnh cụ thể phải đảm bảo đúng nguyên tắc quy định tại điểm 1, Điều 5 của Nghị định số 27/CP ngày 23-5-1993 của Chính phủ.</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3. Mức sinh hoạt phí đối với cán bộ hoạt động xã, phường từ năm 1935 về trước là 150.000 đồng/tháng; từ năm 1936 đến trước năm 1945 là 120.000 đồng/tháng.</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4. Mức trợ cấp </w:t>
      </w:r>
      <w:proofErr w:type="gramStart"/>
      <w:r w:rsidRPr="003E603E">
        <w:rPr>
          <w:rFonts w:ascii="Times New Roman" w:eastAsia="Times New Roman" w:hAnsi="Times New Roman" w:cs="Times New Roman"/>
          <w:sz w:val="24"/>
          <w:szCs w:val="24"/>
        </w:rPr>
        <w:t>tai</w:t>
      </w:r>
      <w:proofErr w:type="gramEnd"/>
      <w:r w:rsidRPr="003E603E">
        <w:rPr>
          <w:rFonts w:ascii="Times New Roman" w:eastAsia="Times New Roman" w:hAnsi="Times New Roman" w:cs="Times New Roman"/>
          <w:sz w:val="24"/>
          <w:szCs w:val="24"/>
        </w:rPr>
        <w:t xml:space="preserve"> nạn lao động hoặc bệnh nghề nghiệp hàng tháng được điều chỉnh như sau:</w:t>
      </w:r>
    </w:p>
    <w:tbl>
      <w:tblPr>
        <w:tblW w:w="5000" w:type="pct"/>
        <w:tblCellSpacing w:w="0" w:type="dxa"/>
        <w:tblCellMar>
          <w:left w:w="0" w:type="dxa"/>
          <w:right w:w="0" w:type="dxa"/>
        </w:tblCellMar>
        <w:tblLook w:val="04A0" w:firstRow="1" w:lastRow="0" w:firstColumn="1" w:lastColumn="0" w:noHBand="0" w:noVBand="1"/>
      </w:tblPr>
      <w:tblGrid>
        <w:gridCol w:w="5464"/>
        <w:gridCol w:w="3876"/>
      </w:tblGrid>
      <w:tr w:rsidR="003E603E" w:rsidRPr="003E603E" w:rsidTr="003E603E">
        <w:trPr>
          <w:tblCellSpacing w:w="0" w:type="dxa"/>
        </w:trPr>
        <w:tc>
          <w:tcPr>
            <w:tcW w:w="340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 xml:space="preserve">Hạng thương tật </w:t>
            </w:r>
          </w:p>
        </w:tc>
        <w:tc>
          <w:tcPr>
            <w:tcW w:w="241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Mức hưởng</w:t>
            </w:r>
          </w:p>
        </w:tc>
      </w:tr>
      <w:tr w:rsidR="003E603E" w:rsidRPr="003E603E" w:rsidTr="003E603E">
        <w:trPr>
          <w:tblCellSpacing w:w="0" w:type="dxa"/>
        </w:trPr>
        <w:tc>
          <w:tcPr>
            <w:tcW w:w="34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1 </w:t>
            </w:r>
          </w:p>
        </w:tc>
        <w:tc>
          <w:tcPr>
            <w:tcW w:w="241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192.000 đồng</w:t>
            </w:r>
          </w:p>
        </w:tc>
      </w:tr>
      <w:tr w:rsidR="003E603E" w:rsidRPr="003E603E" w:rsidTr="003E603E">
        <w:trPr>
          <w:tblCellSpacing w:w="0" w:type="dxa"/>
        </w:trPr>
        <w:tc>
          <w:tcPr>
            <w:tcW w:w="34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 </w:t>
            </w:r>
          </w:p>
        </w:tc>
        <w:tc>
          <w:tcPr>
            <w:tcW w:w="241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132.000 đồng</w:t>
            </w:r>
          </w:p>
        </w:tc>
      </w:tr>
      <w:tr w:rsidR="003E603E" w:rsidRPr="003E603E" w:rsidTr="003E603E">
        <w:trPr>
          <w:tblCellSpacing w:w="0" w:type="dxa"/>
        </w:trPr>
        <w:tc>
          <w:tcPr>
            <w:tcW w:w="34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3 </w:t>
            </w:r>
          </w:p>
        </w:tc>
        <w:tc>
          <w:tcPr>
            <w:tcW w:w="241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84.000 đồng</w:t>
            </w:r>
          </w:p>
        </w:tc>
      </w:tr>
      <w:tr w:rsidR="003E603E" w:rsidRPr="003E603E" w:rsidTr="003E603E">
        <w:trPr>
          <w:tblCellSpacing w:w="0" w:type="dxa"/>
        </w:trPr>
        <w:tc>
          <w:tcPr>
            <w:tcW w:w="340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4 </w:t>
            </w:r>
          </w:p>
        </w:tc>
        <w:tc>
          <w:tcPr>
            <w:tcW w:w="241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36.000 đồng</w:t>
            </w:r>
          </w:p>
        </w:tc>
      </w:tr>
    </w:tbl>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5. Mức trợ cấp của các đối tượng hưởng chính sách xã hội được quy định tại bảng chi tiết ban hành kèm </w:t>
      </w:r>
      <w:proofErr w:type="gramStart"/>
      <w:r w:rsidRPr="003E603E">
        <w:rPr>
          <w:rFonts w:ascii="Times New Roman" w:eastAsia="Times New Roman" w:hAnsi="Times New Roman" w:cs="Times New Roman"/>
          <w:sz w:val="24"/>
          <w:szCs w:val="24"/>
        </w:rPr>
        <w:t>theo</w:t>
      </w:r>
      <w:proofErr w:type="gramEnd"/>
      <w:r w:rsidRPr="003E603E">
        <w:rPr>
          <w:rFonts w:ascii="Times New Roman" w:eastAsia="Times New Roman" w:hAnsi="Times New Roman" w:cs="Times New Roman"/>
          <w:sz w:val="24"/>
          <w:szCs w:val="24"/>
        </w:rPr>
        <w:t xml:space="preserve"> Nghị định này.</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6. Quân nhân hưởng lương hoặc công nhân, viên chức Nhà nước được xác nhận là thương binh, bệnh binh từ ngày 1 tháng 12 năm 1993 trở đi thì hưởng trợ cấp hàng tháng như thương binh, bệnh binh hưởng theo mức ấn định, ngoài ra còn được hưởng trợ cấp lần đầu bằng 1; 2; 3; 4 tháng lương hưởng khi bị thương hoặc bị bệnh tuỳ theo hạng thương tật, hạng bệnh binh.</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7. Người được xác nhận là liệt sỹ từ ngày 1 tháng 12 năm 1993 trở đi thì gia đình liệt sỹ hưởng trợ cấp một lần bằng 12 tháng lương.</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8. Mức lương tháng để tính trợ cấp một lần đối với gia đình liệt sỹ và thương binh được quy định thống nhất là 250.000 đồng.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Điều 3</w:t>
      </w:r>
      <w:proofErr w:type="gramStart"/>
      <w:r w:rsidRPr="003E603E">
        <w:rPr>
          <w:rFonts w:ascii="Times New Roman" w:eastAsia="Times New Roman" w:hAnsi="Times New Roman" w:cs="Times New Roman"/>
          <w:b/>
          <w:bCs/>
          <w:sz w:val="24"/>
          <w:szCs w:val="24"/>
        </w:rPr>
        <w:t>.</w:t>
      </w:r>
      <w:r w:rsidRPr="003E603E">
        <w:rPr>
          <w:rFonts w:ascii="Times New Roman" w:eastAsia="Times New Roman" w:hAnsi="Times New Roman" w:cs="Times New Roman"/>
          <w:sz w:val="24"/>
          <w:szCs w:val="24"/>
        </w:rPr>
        <w:t>-</w:t>
      </w:r>
      <w:proofErr w:type="gramEnd"/>
      <w:r w:rsidRPr="003E603E">
        <w:rPr>
          <w:rFonts w:ascii="Times New Roman" w:eastAsia="Times New Roman" w:hAnsi="Times New Roman" w:cs="Times New Roman"/>
          <w:sz w:val="24"/>
          <w:szCs w:val="24"/>
        </w:rPr>
        <w:t xml:space="preserve"> Nghị định này có hiệu lực thi hành từ ngày 1 tháng 12 năm 1993.</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Những quy định về mức lương, mức phụ cấp, mức trợ cấp trước đây trái với qui định của Nghị định này đều bãi bỏ.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Điều 4</w:t>
      </w:r>
      <w:proofErr w:type="gramStart"/>
      <w:r w:rsidRPr="003E603E">
        <w:rPr>
          <w:rFonts w:ascii="Times New Roman" w:eastAsia="Times New Roman" w:hAnsi="Times New Roman" w:cs="Times New Roman"/>
          <w:b/>
          <w:bCs/>
          <w:sz w:val="24"/>
          <w:szCs w:val="24"/>
        </w:rPr>
        <w:t>.</w:t>
      </w:r>
      <w:r w:rsidRPr="003E603E">
        <w:rPr>
          <w:rFonts w:ascii="Times New Roman" w:eastAsia="Times New Roman" w:hAnsi="Times New Roman" w:cs="Times New Roman"/>
          <w:sz w:val="24"/>
          <w:szCs w:val="24"/>
        </w:rPr>
        <w:t>-</w:t>
      </w:r>
      <w:proofErr w:type="gramEnd"/>
      <w:r w:rsidRPr="003E603E">
        <w:rPr>
          <w:rFonts w:ascii="Times New Roman" w:eastAsia="Times New Roman" w:hAnsi="Times New Roman" w:cs="Times New Roman"/>
          <w:sz w:val="24"/>
          <w:szCs w:val="24"/>
        </w:rPr>
        <w:t xml:space="preserve"> Bộ Lao động - Thương binh và xã hội, Ban Tổ chức - Cán bộ Chính phủ, Bộ Tài chính phối hợp với Ban Tổ chức Trung ương hướng dẫn thi hành Nghị định này; qui định phương thức chi trả quỹ tiền lương tăng thêm thích hợp và được truy lĩnh từ ngày 1 tháng 12 năm 1993, tránh gây đột biến về giá cả.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Điều 5.</w:t>
      </w:r>
      <w:r w:rsidRPr="003E603E">
        <w:rPr>
          <w:rFonts w:ascii="Times New Roman" w:eastAsia="Times New Roman" w:hAnsi="Times New Roman" w:cs="Times New Roman"/>
          <w:sz w:val="24"/>
          <w:szCs w:val="24"/>
        </w:rPr>
        <w:t xml:space="preserve">- Bộ Quốc phòng, Bộ Nội vụ sau khi có sự thoả thuận của Bộ Lao động - Thương binh và xã hội và Bộ Tài chính, hướng dẫn thi hành những quy định đối với lực lượng vũ trang thuộc phạm vi quản lý.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lastRenderedPageBreak/>
        <w:t>Điều 6.</w:t>
      </w:r>
      <w:r w:rsidRPr="003E603E">
        <w:rPr>
          <w:rFonts w:ascii="Times New Roman" w:eastAsia="Times New Roman" w:hAnsi="Times New Roman" w:cs="Times New Roman"/>
          <w:sz w:val="24"/>
          <w:szCs w:val="24"/>
        </w:rPr>
        <w:t xml:space="preserve">- Bộ trưởng, Thủ trưởng cơ quan ngang Bộ, Thủ trưởng cơ quan thuộc Chính phủ, Chủ tịch Uỷ ban nhân dân tỉnh, thành phố trực thuộc Trung ương chịu trách nhiệm thi hành Nghị định này. </w:t>
      </w:r>
    </w:p>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3E603E" w:rsidRPr="003E603E" w:rsidTr="003E603E">
        <w:trPr>
          <w:tblCellSpacing w:w="0" w:type="dxa"/>
        </w:trPr>
        <w:tc>
          <w:tcPr>
            <w:tcW w:w="4239" w:type="dxa"/>
            <w:tcMar>
              <w:top w:w="0" w:type="dxa"/>
              <w:left w:w="108" w:type="dxa"/>
              <w:bottom w:w="0"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 </w:t>
            </w:r>
          </w:p>
        </w:tc>
        <w:tc>
          <w:tcPr>
            <w:tcW w:w="4283" w:type="dxa"/>
            <w:tcMar>
              <w:top w:w="0" w:type="dxa"/>
              <w:left w:w="108" w:type="dxa"/>
              <w:bottom w:w="0"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Võ Văn Kiệt</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(Đã ký)</w:t>
            </w:r>
          </w:p>
        </w:tc>
      </w:tr>
    </w:tbl>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bookmarkStart w:id="1" w:name="Start"/>
      <w:bookmarkEnd w:id="1"/>
      <w:r w:rsidRPr="003E603E">
        <w:rPr>
          <w:rFonts w:ascii="Times New Roman" w:eastAsia="Times New Roman" w:hAnsi="Times New Roman" w:cs="Times New Roman"/>
          <w:sz w:val="24"/>
          <w:szCs w:val="24"/>
        </w:rPr>
        <w:t xml:space="preserve">BẢNG QUY ĐỊNH CHI TIẾT MỨC TRỢ CẤP CỦA CÁC ĐỐI TƯỢNG HƯỞNG CHÍNH SÁCH XÃ </w:t>
      </w:r>
      <w:proofErr w:type="gramStart"/>
      <w:r w:rsidRPr="003E603E">
        <w:rPr>
          <w:rFonts w:ascii="Times New Roman" w:eastAsia="Times New Roman" w:hAnsi="Times New Roman" w:cs="Times New Roman"/>
          <w:sz w:val="24"/>
          <w:szCs w:val="24"/>
        </w:rPr>
        <w:t>HỘI</w:t>
      </w:r>
      <w:proofErr w:type="gramEnd"/>
      <w:r w:rsidRPr="003E603E">
        <w:rPr>
          <w:rFonts w:ascii="Times New Roman" w:eastAsia="Times New Roman" w:hAnsi="Times New Roman" w:cs="Times New Roman"/>
          <w:sz w:val="24"/>
          <w:szCs w:val="24"/>
        </w:rPr>
        <w:br/>
        <w:t>(</w:t>
      </w:r>
      <w:r w:rsidRPr="003E603E">
        <w:rPr>
          <w:rFonts w:ascii="Times New Roman" w:eastAsia="Times New Roman" w:hAnsi="Times New Roman" w:cs="Times New Roman"/>
          <w:i/>
          <w:iCs/>
          <w:sz w:val="24"/>
          <w:szCs w:val="24"/>
        </w:rPr>
        <w:t>Ban hành kèm theo Nghị định số 5-CP ngày 26-1-1994 của Chính phủ)</w:t>
      </w:r>
    </w:p>
    <w:tbl>
      <w:tblPr>
        <w:tblW w:w="5000" w:type="pct"/>
        <w:tblCellSpacing w:w="0" w:type="dxa"/>
        <w:tblCellMar>
          <w:left w:w="0" w:type="dxa"/>
          <w:right w:w="0" w:type="dxa"/>
        </w:tblCellMar>
        <w:tblLook w:val="04A0" w:firstRow="1" w:lastRow="0" w:firstColumn="1" w:lastColumn="0" w:noHBand="0" w:noVBand="1"/>
      </w:tblPr>
      <w:tblGrid>
        <w:gridCol w:w="629"/>
        <w:gridCol w:w="4793"/>
        <w:gridCol w:w="1675"/>
        <w:gridCol w:w="2243"/>
      </w:tblGrid>
      <w:tr w:rsidR="003E603E" w:rsidRPr="003E603E" w:rsidTr="003E603E">
        <w:trPr>
          <w:tblCellSpacing w:w="0" w:type="dxa"/>
        </w:trPr>
        <w:tc>
          <w:tcPr>
            <w:tcW w:w="57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bookmarkStart w:id="2" w:name="End"/>
            <w:bookmarkEnd w:id="2"/>
            <w:r w:rsidRPr="003E603E">
              <w:rPr>
                <w:rFonts w:ascii="Times New Roman" w:eastAsia="Times New Roman" w:hAnsi="Times New Roman" w:cs="Times New Roman"/>
                <w:sz w:val="24"/>
                <w:szCs w:val="24"/>
              </w:rPr>
              <w:t> </w:t>
            </w:r>
          </w:p>
        </w:tc>
        <w:tc>
          <w:tcPr>
            <w:tcW w:w="468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3825"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Mức trợ cấp từ tháng 12 năm 1993</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Số thứ tự</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Đối tượng hưởng</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Đồng/Tháng</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b/>
                <w:bCs/>
                <w:sz w:val="24"/>
                <w:szCs w:val="24"/>
              </w:rPr>
              <w:t>Người hưởng trợ cấp theo lương ngoài trợ cấp đang hưởng được cộng thêm (đ/tháng)</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1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Thương binh</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1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250.000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60.000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2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175.000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65.000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3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125.000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75.000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4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50.000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25.000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Hạng 1 có thương tật đặc biệt nặng</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296.000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66.000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Thương binh loại B và bệnh binh</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1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200.000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44.000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2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138.000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62.000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3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88.000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53.000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4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38.000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20.000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Hạng 1 có thương tật đặc biệt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246.000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29.000</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3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Trợ cấp người phục vụ</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lastRenderedPageBreak/>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-Thương binh hạng 1, bệnh binh hạng 1, tai nạn lao động hạng 1, bệnh nghề nghiệp hạng 1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96.000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-Thương binh hạng 1, bệnh binh hạng 1 có thương tật, bệnh tật đặc biệt nặng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120.000</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4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Thân nhân liệt sĩ, người có công giúp đỡ cách mạng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Hưởng định suất cơ bản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45.000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Hưởng trợ cấp nuôi dưỡng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150.000</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5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Trợ cấp tuất thường</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Hưởng định suất cơ bản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30.000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 Hưởng trợ cấp nuôi dưỡng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84.000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6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Công nhân cao su nghỉ việc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84.000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r w:rsidR="003E603E" w:rsidRPr="003E603E" w:rsidTr="003E603E">
        <w:trPr>
          <w:tblCellSpacing w:w="0" w:type="dxa"/>
        </w:trPr>
        <w:tc>
          <w:tcPr>
            <w:tcW w:w="5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center"/>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7 </w:t>
            </w:r>
          </w:p>
        </w:tc>
        <w:tc>
          <w:tcPr>
            <w:tcW w:w="468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Trợ cấp đối tượng XH nuôi dưỡng tập trung </w:t>
            </w:r>
          </w:p>
        </w:tc>
        <w:tc>
          <w:tcPr>
            <w:tcW w:w="1635"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jc w:val="right"/>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xml:space="preserve">84.000 </w:t>
            </w:r>
          </w:p>
        </w:tc>
        <w:tc>
          <w:tcPr>
            <w:tcW w:w="2190" w:type="dxa"/>
            <w:tcBorders>
              <w:top w:val="nil"/>
              <w:left w:val="nil"/>
              <w:bottom w:val="single" w:sz="8" w:space="0" w:color="auto"/>
              <w:right w:val="single" w:sz="8" w:space="0" w:color="auto"/>
            </w:tcBorders>
            <w:tcMar>
              <w:top w:w="28" w:type="dxa"/>
              <w:left w:w="108" w:type="dxa"/>
              <w:bottom w:w="28" w:type="dxa"/>
              <w:right w:w="108" w:type="dxa"/>
            </w:tcMar>
            <w:hideMark/>
          </w:tcPr>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tc>
      </w:tr>
    </w:tbl>
    <w:p w:rsidR="003E603E" w:rsidRPr="003E603E" w:rsidRDefault="003E603E" w:rsidP="003E603E">
      <w:pPr>
        <w:spacing w:before="100" w:beforeAutospacing="1" w:after="120" w:line="240" w:lineRule="auto"/>
        <w:rPr>
          <w:rFonts w:ascii="Times New Roman" w:eastAsia="Times New Roman" w:hAnsi="Times New Roman" w:cs="Times New Roman"/>
          <w:sz w:val="24"/>
          <w:szCs w:val="24"/>
        </w:rPr>
      </w:pPr>
      <w:r w:rsidRPr="003E603E">
        <w:rPr>
          <w:rFonts w:ascii="Times New Roman" w:eastAsia="Times New Roman" w:hAnsi="Times New Roman" w:cs="Times New Roman"/>
          <w:sz w:val="24"/>
          <w:szCs w:val="24"/>
        </w:rPr>
        <w:t> </w:t>
      </w:r>
    </w:p>
    <w:p w:rsidR="003E603E" w:rsidRPr="003E603E" w:rsidRDefault="003E603E" w:rsidP="003E603E">
      <w:pPr>
        <w:spacing w:after="0" w:line="240" w:lineRule="auto"/>
        <w:rPr>
          <w:rFonts w:ascii="Times New Roman" w:eastAsia="Times New Roman" w:hAnsi="Times New Roman" w:cs="Times New Roman"/>
          <w:sz w:val="24"/>
          <w:szCs w:val="24"/>
        </w:rPr>
      </w:pPr>
      <w:bookmarkStart w:id="3" w:name="_GoBack"/>
      <w:bookmarkEnd w:id="3"/>
    </w:p>
    <w:sectPr w:rsidR="003E603E" w:rsidRPr="003E6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6A6E02"/>
    <w:multiLevelType w:val="multilevel"/>
    <w:tmpl w:val="09A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03E"/>
    <w:rsid w:val="00051ECA"/>
    <w:rsid w:val="003E603E"/>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E63F62-F6BA-4781-8FF0-E324EB8B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60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E60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330081">
      <w:bodyDiv w:val="1"/>
      <w:marLeft w:val="0"/>
      <w:marRight w:val="0"/>
      <w:marTop w:val="0"/>
      <w:marBottom w:val="0"/>
      <w:divBdr>
        <w:top w:val="none" w:sz="0" w:space="0" w:color="auto"/>
        <w:left w:val="none" w:sz="0" w:space="0" w:color="auto"/>
        <w:bottom w:val="none" w:sz="0" w:space="0" w:color="auto"/>
        <w:right w:val="none" w:sz="0" w:space="0" w:color="auto"/>
      </w:divBdr>
      <w:divsChild>
        <w:div w:id="1474642111">
          <w:marLeft w:val="0"/>
          <w:marRight w:val="225"/>
          <w:marTop w:val="0"/>
          <w:marBottom w:val="0"/>
          <w:divBdr>
            <w:top w:val="none" w:sz="0" w:space="0" w:color="auto"/>
            <w:left w:val="none" w:sz="0" w:space="0" w:color="auto"/>
            <w:bottom w:val="none" w:sz="0" w:space="0" w:color="auto"/>
            <w:right w:val="none" w:sz="0" w:space="0" w:color="auto"/>
          </w:divBdr>
          <w:divsChild>
            <w:div w:id="1805536020">
              <w:marLeft w:val="0"/>
              <w:marRight w:val="0"/>
              <w:marTop w:val="0"/>
              <w:marBottom w:val="0"/>
              <w:divBdr>
                <w:top w:val="none" w:sz="0" w:space="0" w:color="auto"/>
                <w:left w:val="none" w:sz="0" w:space="0" w:color="auto"/>
                <w:bottom w:val="none" w:sz="0" w:space="0" w:color="auto"/>
                <w:right w:val="none" w:sz="0" w:space="0" w:color="auto"/>
              </w:divBdr>
              <w:divsChild>
                <w:div w:id="1654018847">
                  <w:marLeft w:val="0"/>
                  <w:marRight w:val="0"/>
                  <w:marTop w:val="0"/>
                  <w:marBottom w:val="0"/>
                  <w:divBdr>
                    <w:top w:val="none" w:sz="0" w:space="0" w:color="auto"/>
                    <w:left w:val="none" w:sz="0" w:space="0" w:color="auto"/>
                    <w:bottom w:val="none" w:sz="0" w:space="0" w:color="auto"/>
                    <w:right w:val="none" w:sz="0" w:space="0" w:color="auto"/>
                  </w:divBdr>
                  <w:divsChild>
                    <w:div w:id="1539467067">
                      <w:marLeft w:val="0"/>
                      <w:marRight w:val="0"/>
                      <w:marTop w:val="0"/>
                      <w:marBottom w:val="0"/>
                      <w:divBdr>
                        <w:top w:val="none" w:sz="0" w:space="0" w:color="auto"/>
                        <w:left w:val="none" w:sz="0" w:space="0" w:color="auto"/>
                        <w:bottom w:val="none" w:sz="0" w:space="0" w:color="auto"/>
                        <w:right w:val="none" w:sz="0" w:space="0" w:color="auto"/>
                      </w:divBdr>
                      <w:divsChild>
                        <w:div w:id="6939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17098">
          <w:marLeft w:val="0"/>
          <w:marRight w:val="0"/>
          <w:marTop w:val="150"/>
          <w:marBottom w:val="0"/>
          <w:divBdr>
            <w:top w:val="none" w:sz="0" w:space="0" w:color="auto"/>
            <w:left w:val="none" w:sz="0" w:space="0" w:color="auto"/>
            <w:bottom w:val="none" w:sz="0" w:space="0" w:color="auto"/>
            <w:right w:val="none" w:sz="0" w:space="0" w:color="auto"/>
          </w:divBdr>
          <w:divsChild>
            <w:div w:id="316687224">
              <w:marLeft w:val="0"/>
              <w:marRight w:val="0"/>
              <w:marTop w:val="0"/>
              <w:marBottom w:val="0"/>
              <w:divBdr>
                <w:top w:val="none" w:sz="0" w:space="0" w:color="auto"/>
                <w:left w:val="none" w:sz="0" w:space="0" w:color="auto"/>
                <w:bottom w:val="none" w:sz="0" w:space="0" w:color="auto"/>
                <w:right w:val="none" w:sz="0" w:space="0" w:color="auto"/>
              </w:divBdr>
              <w:divsChild>
                <w:div w:id="19176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2018-09-20T07:26:00Z</dcterms:created>
  <dcterms:modified xsi:type="dcterms:W3CDTF">2018-09-20T07:27:00Z</dcterms:modified>
</cp:coreProperties>
</file>