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3F1097" w:rsidRPr="003F1097" w:rsidTr="003F1097">
        <w:trPr>
          <w:tblCellSpacing w:w="0" w:type="dxa"/>
        </w:trPr>
        <w:tc>
          <w:tcPr>
            <w:tcW w:w="3348" w:type="dxa"/>
            <w:tcMar>
              <w:top w:w="0" w:type="dxa"/>
              <w:left w:w="108" w:type="dxa"/>
              <w:bottom w:w="0" w:type="dxa"/>
              <w:right w:w="108" w:type="dxa"/>
            </w:tcMar>
            <w:hideMark/>
          </w:tcPr>
          <w:p w:rsidR="00AF648B"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b/>
                <w:bCs/>
                <w:sz w:val="24"/>
                <w:szCs w:val="24"/>
              </w:rPr>
              <w:t>CHÍNH PHỦ</w:t>
            </w:r>
            <w:r w:rsidRPr="003F1097">
              <w:rPr>
                <w:rFonts w:ascii="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AF648B"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b/>
                <w:bCs/>
                <w:sz w:val="24"/>
                <w:szCs w:val="24"/>
                <w:lang w:val="vi-VN"/>
              </w:rPr>
              <w:t>CỘNG HÒA XÃ HỘI CHỦ NGHĨA VIỆT NAM</w:t>
            </w:r>
            <w:r w:rsidRPr="003F1097">
              <w:rPr>
                <w:rFonts w:ascii="Times New Roman" w:hAnsi="Times New Roman" w:cs="Times New Roman"/>
                <w:b/>
                <w:bCs/>
                <w:sz w:val="24"/>
                <w:szCs w:val="24"/>
                <w:lang w:val="vi-VN"/>
              </w:rPr>
              <w:br/>
              <w:t xml:space="preserve">Độc lập - Tự do - Hạnh phúc </w:t>
            </w:r>
            <w:r w:rsidRPr="003F1097">
              <w:rPr>
                <w:rFonts w:ascii="Times New Roman" w:hAnsi="Times New Roman" w:cs="Times New Roman"/>
                <w:b/>
                <w:bCs/>
                <w:sz w:val="24"/>
                <w:szCs w:val="24"/>
                <w:lang w:val="vi-VN"/>
              </w:rPr>
              <w:br/>
              <w:t>---------------</w:t>
            </w:r>
          </w:p>
        </w:tc>
      </w:tr>
      <w:tr w:rsidR="003F1097" w:rsidRPr="003F1097" w:rsidTr="003F1097">
        <w:trPr>
          <w:tblCellSpacing w:w="0" w:type="dxa"/>
        </w:trPr>
        <w:tc>
          <w:tcPr>
            <w:tcW w:w="3348" w:type="dxa"/>
            <w:tcMar>
              <w:top w:w="0" w:type="dxa"/>
              <w:left w:w="108" w:type="dxa"/>
              <w:bottom w:w="0" w:type="dxa"/>
              <w:right w:w="108" w:type="dxa"/>
            </w:tcMar>
            <w:hideMark/>
          </w:tcPr>
          <w:p w:rsidR="00AF648B"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sz w:val="24"/>
                <w:szCs w:val="24"/>
                <w:lang w:val="vi-VN"/>
              </w:rPr>
              <w:t xml:space="preserve">Số: </w:t>
            </w:r>
            <w:r w:rsidRPr="003F1097">
              <w:rPr>
                <w:rFonts w:ascii="Times New Roman" w:hAnsi="Times New Roman" w:cs="Times New Roman"/>
                <w:sz w:val="24"/>
                <w:szCs w:val="24"/>
              </w:rPr>
              <w:t>143</w:t>
            </w:r>
            <w:r w:rsidRPr="003F1097">
              <w:rPr>
                <w:rFonts w:ascii="Times New Roman" w:hAnsi="Times New Roman" w:cs="Times New Roman"/>
                <w:sz w:val="24"/>
                <w:szCs w:val="24"/>
                <w:lang w:val="vi-VN"/>
              </w:rPr>
              <w:t>/2020/N</w:t>
            </w:r>
            <w:r w:rsidRPr="003F1097">
              <w:rPr>
                <w:rFonts w:ascii="Times New Roman" w:hAnsi="Times New Roman" w:cs="Times New Roman"/>
                <w:sz w:val="24"/>
                <w:szCs w:val="24"/>
              </w:rPr>
              <w:t>Đ</w:t>
            </w:r>
            <w:r w:rsidRPr="003F1097">
              <w:rPr>
                <w:rFonts w:ascii="Times New Roman" w:hAnsi="Times New Roman" w:cs="Times New Roman"/>
                <w:sz w:val="24"/>
                <w:szCs w:val="24"/>
                <w:lang w:val="vi-VN"/>
              </w:rPr>
              <w:t>-CP</w:t>
            </w:r>
          </w:p>
        </w:tc>
        <w:tc>
          <w:tcPr>
            <w:tcW w:w="5508" w:type="dxa"/>
            <w:tcMar>
              <w:top w:w="0" w:type="dxa"/>
              <w:left w:w="108" w:type="dxa"/>
              <w:bottom w:w="0" w:type="dxa"/>
              <w:right w:w="108" w:type="dxa"/>
            </w:tcMar>
            <w:hideMark/>
          </w:tcPr>
          <w:p w:rsidR="00AF648B"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i/>
                <w:iCs/>
                <w:sz w:val="24"/>
                <w:szCs w:val="24"/>
                <w:lang w:val="vi-VN"/>
              </w:rPr>
              <w:t>Hà Nội, ngày 10 tháng 12 năm 2020</w:t>
            </w:r>
          </w:p>
        </w:tc>
      </w:tr>
    </w:tbl>
    <w:p w:rsidR="003F1097" w:rsidRPr="003F1097" w:rsidRDefault="003F1097" w:rsidP="003F1097">
      <w:pPr>
        <w:spacing w:after="0"/>
        <w:jc w:val="center"/>
        <w:rPr>
          <w:rFonts w:ascii="Times New Roman" w:hAnsi="Times New Roman" w:cs="Times New Roman"/>
          <w:sz w:val="24"/>
          <w:szCs w:val="24"/>
        </w:rPr>
      </w:pPr>
    </w:p>
    <w:p w:rsidR="003F1097"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b/>
          <w:bCs/>
          <w:sz w:val="24"/>
          <w:szCs w:val="24"/>
          <w:lang w:val="vi-VN"/>
        </w:rPr>
        <w:t>NGHỊ ĐỊNH</w:t>
      </w:r>
    </w:p>
    <w:p w:rsidR="003F1097" w:rsidRPr="003F1097" w:rsidRDefault="003F1097" w:rsidP="003F1097">
      <w:pPr>
        <w:spacing w:after="0"/>
        <w:jc w:val="center"/>
        <w:rPr>
          <w:rFonts w:ascii="Times New Roman" w:hAnsi="Times New Roman" w:cs="Times New Roman"/>
          <w:sz w:val="24"/>
          <w:szCs w:val="24"/>
        </w:rPr>
      </w:pPr>
      <w:r w:rsidRPr="003F1097">
        <w:rPr>
          <w:rFonts w:ascii="Times New Roman" w:hAnsi="Times New Roman" w:cs="Times New Roman"/>
          <w:sz w:val="24"/>
          <w:szCs w:val="24"/>
          <w:lang w:val="vi-VN"/>
        </w:rPr>
        <w:t xml:space="preserve">SỬA ĐỔI, BỔ SUNG MỘI SỐ ĐIỀU CỦA NGHỊ ĐỊNH SỐ </w:t>
      </w:r>
      <w:hyperlink r:id="rId5"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NGÀY 20 THÁNG 11 NĂM 2014 CỦA CHÍNH PHỦ VỀ CHÍNH SÁCH TINH GIẢN BIÊN CHẾ VÀ NGHỊ ĐỊNH SỐ </w:t>
      </w:r>
      <w:hyperlink r:id="rId6"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NGÀY 31 THÁNG 8 NĂM 2018 CỦA CHÍNH PHỦ SỬA ĐỔI, BỔ SUNG MỘT SỐ ĐIỀU CỦA NGHỊ ĐỊNH SỐ </w:t>
      </w:r>
      <w:hyperlink r:id="rId7"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NGÀY 20 THÁNG 11 NĂM 2014 CỦA CHÍNH PHỦ VỀ CHÍNH SÁCH TINH GIẢN BIÊN CHẾ</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Tổ chức Chính phủ ngày 19 tháng 6 năm 2015;</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sửa đổi, bổ sung một số điều của Luật Tổ chức Chính phủ và Luật Tổ chức chính quyền địa phương ngày 22 tháng 11 năm 2019;</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Bảo hiểm xã hội ngày 10 tháng 11 năm 2014;</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Bộ luật Lao động ngày 20 tháng 11 năm 2019;</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Cán bộ, công chức ngày 13 tháng 11 năm 2008;</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Viên chức ngày 15 tháng 11 năm 2010;</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Căn cứ Luật sửa đổi, bổ sung một điều của Luật Cán bộ, công chức và Luật Viên chức ngày 25 tháng 11 năm 2019;</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Theo đề nghị của Bộ trưởng Bộ Nội vụ;</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i/>
          <w:iCs/>
          <w:sz w:val="24"/>
          <w:szCs w:val="24"/>
          <w:lang w:val="vi-VN"/>
        </w:rPr>
        <w:t xml:space="preserve">Chính phủ ban hành Nghị định sửa đổi, bổ sung một số điều của Nghị định số </w:t>
      </w:r>
      <w:hyperlink r:id="rId8" w:tgtFrame="_blank" w:tooltip="Nghị định 108/2014/NĐ-CP" w:history="1">
        <w:r w:rsidRPr="003F1097">
          <w:rPr>
            <w:rStyle w:val="Hyperlink"/>
            <w:rFonts w:ascii="Times New Roman" w:hAnsi="Times New Roman" w:cs="Times New Roman"/>
            <w:i/>
            <w:iCs/>
            <w:sz w:val="24"/>
            <w:szCs w:val="24"/>
            <w:lang w:val="vi-VN"/>
          </w:rPr>
          <w:t>108/2014/NĐ-CP</w:t>
        </w:r>
      </w:hyperlink>
      <w:r w:rsidRPr="003F1097">
        <w:rPr>
          <w:rFonts w:ascii="Times New Roman" w:hAnsi="Times New Roman" w:cs="Times New Roman"/>
          <w:i/>
          <w:iCs/>
          <w:sz w:val="24"/>
          <w:szCs w:val="24"/>
          <w:lang w:val="vi-VN"/>
        </w:rPr>
        <w:t xml:space="preserve"> ngày 20 tháng 11 năm 2014 của Chính phủ về chính sách tinh giản biên chế và Nghị định số </w:t>
      </w:r>
      <w:hyperlink r:id="rId9" w:tgtFrame="_blank" w:tooltip="Nghị định 113/2018/NĐ-CP" w:history="1">
        <w:r w:rsidRPr="003F1097">
          <w:rPr>
            <w:rStyle w:val="Hyperlink"/>
            <w:rFonts w:ascii="Times New Roman" w:hAnsi="Times New Roman" w:cs="Times New Roman"/>
            <w:i/>
            <w:iCs/>
            <w:sz w:val="24"/>
            <w:szCs w:val="24"/>
            <w:lang w:val="vi-VN"/>
          </w:rPr>
          <w:t>113/2018/NĐ-CP</w:t>
        </w:r>
      </w:hyperlink>
      <w:r w:rsidRPr="003F1097">
        <w:rPr>
          <w:rFonts w:ascii="Times New Roman" w:hAnsi="Times New Roman" w:cs="Times New Roman"/>
          <w:i/>
          <w:iCs/>
          <w:sz w:val="24"/>
          <w:szCs w:val="24"/>
          <w:lang w:val="vi-VN"/>
        </w:rPr>
        <w:t xml:space="preserve"> ngày 31 tháng 8 năm 2018 của Chính phủ sửa đổi, bổ sung một số điều của Nghị định số </w:t>
      </w:r>
      <w:hyperlink r:id="rId10" w:tgtFrame="_blank" w:tooltip="Nghị định 108/2014/NĐ-CP" w:history="1">
        <w:r w:rsidRPr="003F1097">
          <w:rPr>
            <w:rStyle w:val="Hyperlink"/>
            <w:rFonts w:ascii="Times New Roman" w:hAnsi="Times New Roman" w:cs="Times New Roman"/>
            <w:i/>
            <w:iCs/>
            <w:sz w:val="24"/>
            <w:szCs w:val="24"/>
            <w:lang w:val="vi-VN"/>
          </w:rPr>
          <w:t>108/2014/NĐ-CP</w:t>
        </w:r>
      </w:hyperlink>
      <w:r w:rsidRPr="003F1097">
        <w:rPr>
          <w:rFonts w:ascii="Times New Roman" w:hAnsi="Times New Roman" w:cs="Times New Roman"/>
          <w:i/>
          <w:iCs/>
          <w:sz w:val="24"/>
          <w:szCs w:val="24"/>
          <w:lang w:val="vi-VN"/>
        </w:rPr>
        <w:t xml:space="preserve"> ngày 20 tháng 11 năm 2014 của Chính phủ về chính sách tinh giản biên chế.</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1.</w:t>
      </w:r>
      <w:r w:rsidRPr="003F1097">
        <w:rPr>
          <w:rFonts w:ascii="Times New Roman" w:hAnsi="Times New Roman" w:cs="Times New Roman"/>
          <w:sz w:val="24"/>
          <w:szCs w:val="24"/>
          <w:lang w:val="vi-VN"/>
        </w:rPr>
        <w:t xml:space="preserve"> Sửa đổi, bổ sung một số điều của Nghị định số </w:t>
      </w:r>
      <w:hyperlink r:id="rId11"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ngày 20 tháng 11 năm 2014 của Chính phủ về chính sách tinh giản biên chế và Nghị định số </w:t>
      </w:r>
      <w:hyperlink r:id="rId12"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ngày 31 tháng 8 năm 2018 của Chính phủ sửa đổi, bổ sung một số điều của Nghị định số </w:t>
      </w:r>
      <w:hyperlink r:id="rId13"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về chính sách tinh giản biên chế.</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1. Sửa đổi, bổ sung khoản 2 Điều 1 Nghị định số </w:t>
      </w:r>
      <w:hyperlink r:id="rId14"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“c) Chưa đạt trình độ đào tạo theo tiêu chuẩn chuyên môn, nghiệp vụ quy định đối với vị trí việc làm đang đảm nhiệm, nhưng không có vị trí việc làm khác phù hợp để bố trí và không thể bố trí đào tạo lại để chuẩn hóa về chuyên môn, nghiệp vụ hoặc được cơ quan, đơn vị bố trí việc làm khác nhưng cá nhân tự nguyện thực hiện tinh giản biên chế và được cơ quan, đơn vị trực tiếp quản lý đồng ý.</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d) Có chuyên ngành đào tạo không phù hợp với vị trí việc làm hiện đang đảm nhiệm nên không hoàn thành nhiệm vụ được giao nhưng không thể bố trí việc làm khác hoặc được cơ quan, đơn vị bố trí việc làm khác nhưng cá nhân tự nguyện thực hiện tinh giản biên chế và được cơ quan, đơn vị trực tiếp quản lý đồng ý.</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đ) Có 02 năm liên tiếp liền kề tại thời điểm xét tinh giản biên chế, cán bộ, công chức có 01 năm được xếp loại chất lượng ở mức hoàn thành nhiệm vụ và 01 năm không hoàn thành nhiệm vụ nhưng không thể bố trí việc làm khác phù hợp hoặc không hoàn thành nhiệm vụ trong năm trước liền kề tại thời điểm xét tinh giản biên chế nhưng cá nhân tự nguyện thực hiện tinh giản biên chế và được cơ quan, đơn vị trực tiếp quản lý đồng ý.</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c) Có 02 năm liên tiếp liền kề tại thời điểm xét tinh giản biên chế, viên chức có 01 năm được xếp loại chất lượng ở mức hoàn thành nhiệm vụ và 01 năm không hoàn thành nhiệm vụ nhưng không thể bố trí việc làm khác phù hợp hoặc không hoàn thành nhiệm vụ trong năm trước liền kề tại thời điểm xét tinh giản biên chế nhưng cá nhân tự nguyện thực hiện tinh giản biên chế và được cơ quan, đơn vị trực tiếp quản lý đồng ý;</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lastRenderedPageBreak/>
        <w:t xml:space="preserve">g) Có 02 năm liên tiếp liền kề tại thời điểm xét tinh giản biên chế mà trong từng năm đều có tổng số ngày nghỉ làm việc bằng hoặc cao hơn số ngày nghỉ tối đa do ốm đau theo quy định tại </w:t>
      </w:r>
      <w:bookmarkStart w:id="0" w:name="dc_23"/>
      <w:r w:rsidRPr="003F1097">
        <w:rPr>
          <w:rFonts w:ascii="Times New Roman" w:hAnsi="Times New Roman" w:cs="Times New Roman"/>
          <w:sz w:val="24"/>
          <w:szCs w:val="24"/>
          <w:lang w:val="vi-VN"/>
        </w:rPr>
        <w:t>khoản 1 Điều 26 Luật bảo hiểm xã hội</w:t>
      </w:r>
      <w:bookmarkEnd w:id="0"/>
      <w:r w:rsidRPr="003F1097">
        <w:rPr>
          <w:rFonts w:ascii="Times New Roman" w:hAnsi="Times New Roman" w:cs="Times New Roman"/>
          <w:sz w:val="24"/>
          <w:szCs w:val="24"/>
          <w:lang w:val="vi-VN"/>
        </w:rPr>
        <w:t xml:space="preserve">, có xác nhận của cơ sở khám chữa bệnh và của cơ quan Bảo hiểm xã hội chi trả trợ cấp ốm đau theo quy định của pháp luật hoặc trong năm trước liền kề tại thời điểm xét tinh giản biên chế có tổng số ngày nghỉ làm việc bằng hoặc cao hơn số ngày nghỉ tối đa do ốm đau theo quy định tại </w:t>
      </w:r>
      <w:bookmarkStart w:id="1" w:name="dc_3"/>
      <w:r w:rsidRPr="003F1097">
        <w:rPr>
          <w:rFonts w:ascii="Times New Roman" w:hAnsi="Times New Roman" w:cs="Times New Roman"/>
          <w:sz w:val="24"/>
          <w:szCs w:val="24"/>
          <w:lang w:val="vi-VN"/>
        </w:rPr>
        <w:t>khoản 1 Điều 26 Luật bảo hiểm xã hội</w:t>
      </w:r>
      <w:bookmarkEnd w:id="1"/>
      <w:r w:rsidRPr="003F1097">
        <w:rPr>
          <w:rFonts w:ascii="Times New Roman" w:hAnsi="Times New Roman" w:cs="Times New Roman"/>
          <w:sz w:val="24"/>
          <w:szCs w:val="24"/>
          <w:lang w:val="vi-VN"/>
        </w:rPr>
        <w:t>, có xác nhận của cơ sở khám chữa bệnh và của cơ quan Bảo hiểm xã hội chi trả trợ cấp ốm đau theo quy định của pháp luật nhưng cá nhân tự nguyện thực hiện tinh giản biên chế được cơ quan, đơn vị trực tiếp quản lý đồng ý.”</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2. Sửa đổi, bổ sung Điều 8 Nghị định số </w:t>
      </w:r>
      <w:hyperlink r:id="rId15"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và các khoản 6, khoản 7 Điều 1 Nghị định số </w:t>
      </w:r>
      <w:hyperlink r:id="rId16"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8. Chính sách về hưu trước tuổi</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1. Đối tượng tinh giản biên chế quy định tại Điều 6 Nghị định này nếu có tuổi thấp hơn tối đa đủ 5 tuổi và thấp hơn tối thiểu đủ 2 tuổi so với tuổi nghỉ hưu tối thiểu quy định tại khoản 3 Điều 169 Bộ luật Lao động và có đủ 20 năm đóng bảo hiểm xã hội trở lên, trong đó có đủ 15 năm làm nghề, công việc nặng nhọc, độc hại, nguy hiểm hoặc đặc biệt nặng nhọc, độc hại, nguy hiểm thuộc danh mục do Bộ Lao động - Thương binh và Xã hội và Bộ Y tế ban hành hoặc có đủ 15 năm làm việc ở vùng có điều kiện kinh tế - xã hội đặc biệt khó khăn bao gồm cả thời gian làm việc ở nơi có phụ cấp khu vực hệ số 0,7 trở lên, ngoài hưởng chế độ hưu trí theo quy định của pháp luật về bảo hiểm xã hội, còn được hưởng các chế độ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a) Không bị trừ tỷ lệ lương hưu do việc nghỉ hưu trước tuổi;</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b) Được trợ cấp 03 tháng tiền lương cho mỗi năm nghỉ hưu trước tuổi so với quy định về tuổi tối thiểu tại khoản 3 Điều 169 Bộ luật Lao động;</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c) Được trợ cấp 05 tháng tiền lương cho hai mươi năm đầu công tác, có đóng đủ bảo hiểm xã hội. Từ năm thứ hai mươi mốt trở đi, cứ mỗi năm công tác có đóng bảo hiểm xã hội được trợ cấp 1/2 (một phần hai) tháng tiền lương.</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2. Đối tượng tinh giản biên chế quy định tại Điều 6 Nghị định này nếu có tuổi thấp hơn tối đa đủ 5 tuổi và thấp hơn tối thiểu đủ 2 tuổi so với tuổi nghỉ hưu quy định tại khoản 2 Điều 169 Bộ luật Lao động và có đủ 20 năm đóng bảo hiểm xã hội trở lên, được hưởng chế độ hưu trí theo quy định của pháp luật về bảo hiểm xã hội và chế độ quy định tại các điểm a và c khoản 1 Điều này và được trợ cấp 03 tháng tiền lương cho mỗi năm nghỉ hưu trước tuổi so với tuổi nghỉ hưu quy định tại khoản 2 Điều 169 Bộ luật Lao động.</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3. Đối tượng tinh giản biên chế quy định tại Điều 6 Nghị định này nếu có tuổi thấp hơn 2 tuổi so với tuổi nghỉ hưu tối thiểu quy định tại khoản 3 Điều 169 Bộ luật Lao động và có đủ 20 năm đóng bảo hiểm xã hội trở lên, trong đó có đủ 15 năm làm nghề, công việc nặng nhọc, độc hại, nguy hiểm hoặc đặc biệt nặng nhọc, độc hại, nguy hiểm thuộc danh mục do Bộ Lao động - Thương binh và Xã hội và Bộ Y tế ban hành hoặc có đủ 15 năm làm việc ở vùng có điều kiện kinh tế - xã hội đặc biệt khó khăn bao gồm cả thời gian làm việc ở nơi có phụ cấp khu vực hệ số 0,7 trở lên thì được hưởng chế độ hưu trí theo quy định của pháp luật về bảo hiểm xã hội và không bị trừ tỷ lệ lương hưu do việc nghỉ hưu trước tuổi.</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4. Đối tượng tinh giản biên chế quy định tại Điều 6 Nghị định này nếu có tuổi thấp hơn 2 tuổi so với tuổi nghỉ hưu quy định tại khoản 2 Điều 169 Bộ luật Lao động và có đủ 20 năm đóng bảo hiểm xã hội trở lên, thì được hưởng chế độ hưu trí theo quy định của pháp luật về bảo hiểm xã hội và không bị trừ tỷ lệ lương hưu do việc nghỉ hưu trước tuổi.”</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3. Sửa đổi, bổ sung khoản 2 Điều 9 Nghị định số </w:t>
      </w:r>
      <w:hyperlink r:id="rId17"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“2. Không áp dụng chính sách quy định tại khoản 1 Điều này đối với những người đã làm việc tại đơn vị sự nghiệp công lập khi đơn vị chuyển đổi sang đơn vị sự nghiệp công lập tự bảo đảm chi thường xuyên hoặc đơn vị sự nghiệp công lập tự bảo đảm chi thường xuyên và chi đầu tư hoặc doanh nghiệp hoặc cổ phần hóa vẫn được giữ lại làm việc; những người thuộc đối tượng tinh giản biên chế có tuổi thấp hơn đủ 3 tuổi so với tuổi nghỉ hưu tối thiểu quy định tại khoản 3 Điều 169 Bộ luật Lao động, có đủ 20 năm đóng bảo hiểm xã hội trở lên, trong đó có đủ 15 năm làm nghề, công việc nặng nhọc, độc hại, nguy hiểm hoặc đặc biệt nặng nhọc, độc hại, nguy hiểm thuộc danh mục do Bộ Lao động - Thương binh và Xã hội và Bộ Y tế ban hành hoặc có đủ 15 năm làm việc ở vùng có điều kiện kinh tế - xã hội đặc biệt khó khăn bao gồm cả thời gian làm việc ở nơi có phụ cấp khu vực hệ số 0,7 trở lên; những người thuộc đối tượng tinh giản biên chế có tuổi thấp hơn đủ 3 tuổi so với tuổi nghỉ hưu quy định tại khoản 2 Điều 169 Bộ luật Lao động, có đủ 20 năm đóng bảo hiểm xã hội trở lên.”</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4. Sửa đổi, bổ sung khoản 1 Điều 10 Nghị định số </w:t>
      </w:r>
      <w:hyperlink r:id="rId18"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"1. Chính sách thôi việc ngay</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Những người thuộc đối tượng tinh giản biên chế quy định tại Điều 6 Nghị định này có tuổi tối đa thấp hơn 2 tuổi so với tuổi nghỉ hưu tối thiểu quy định tại khoản 3 Điều 169 Bộ luật Lao động và không đủ điều kiện để hưởng chính sách về hưu trước tuổi quy định tại khoản 1 Điều 8 Nghị định này hoặc có tuổi thấp hơn 2 tuổi so với tuổi nghỉ hưu quy định tại khoản 2 Điều 169 Bộ luật Lao động và không đủ điều kiện để hưởng chính sách về hưu trước tuổi quy định tại khoản 2 Điều 8 Nghị định này nếu thôi việc ngay thì được hưởng các khoản trợ cấp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a) Được trợ cấp 03 tháng tiền lương hiện hưởng để tìm việc làm;</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b) Được trợ cấp 1,5 tháng tiền lương cho mỗi năm công tác có đóng bảo hiểm xã hội.”</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5. Sửa đổi, bổ sung khoản 4 Điều 13 Nghị định số </w:t>
      </w:r>
      <w:hyperlink r:id="rId19"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“4. Kinh phí giải quyết chính sách tinh giản biên chế đối với đối tượng quy định tại khoản 4 Điều 6 Nghị định số </w:t>
      </w:r>
      <w:hyperlink r:id="rId20"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và khoản 4 Điều 1 Nghị định số </w:t>
      </w:r>
      <w:hyperlink r:id="rId21"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được bố trí từ nguồn Quỹ Hỗ trợ sắp xếp và phát triển doanh nghiệp trừ trường hợp pháp luật có quy định khác.”</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6. Sửa đổi, bổ sung khoản 10 Điều 1 Nghị định số </w:t>
      </w:r>
      <w:hyperlink r:id="rId22"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“c) Phê duyệt danh sách đối tượng tinh giản biên chế và sử dụng chi ngân sách thường xuyên hằng năm để thực hiện việc chi trả các chế độ, chính sách cho đối tượng tinh giản biên chế. Đối với đối tượng tinh giản biên chế quy định tại khoản 4 Điều 6 Nghị định số </w:t>
      </w:r>
      <w:hyperlink r:id="rId23"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và khoản 4 Điều 1 Nghị định số </w:t>
      </w:r>
      <w:hyperlink r:id="rId24"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thì Cơ quan đại diện chủ sở hữu thực hiện theo trình tự quy định tại Nghị định số </w:t>
      </w:r>
      <w:hyperlink r:id="rId25"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và Nghị định số </w:t>
      </w:r>
      <w:hyperlink r:id="rId26"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 đồng thời có văn bản đề nghị Bộ Tài chính xuất Quỹ Hỗ trợ sắp xếp và phát triển doanh nghiệp để giải quyết chính sách tinh giản biên chế cho đối tượng này trừ trường hợp pháp luật có quy định khác.</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d) Định kỳ 02 lần/năm (6 tháng/1 lần), tổng hợp kết quả thực hiện tinh giản biên chế, bao gồm danh sách đối tượng tinh giản biên chế (kèm theo giải trình làm rõ lý do tinh giản biên chế của từng đối tượng) và kinh phí thực hiện tinh giản biên chế của Bộ, ngành, địa phương mình gửi Bộ Nội vụ, Bộ Tài chính để kiểm tra theo quy định.”</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7. Bổ sung Điều 23a vào sau Điều 23 Nghị định số </w:t>
      </w:r>
      <w:hyperlink r:id="rId27"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23a. Điều khoản chuyển tiếp</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Những người thuộc đối tượng tinh giản biên chế quy định tại khoản 4 Điều 6 Nghị định số </w:t>
      </w:r>
      <w:hyperlink r:id="rId28"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và khoản 4 Điều 1 Nghị định số </w:t>
      </w:r>
      <w:hyperlink r:id="rId29" w:tgtFrame="_blank" w:tooltip="Nghị định 113/2018/NĐ-CP" w:history="1">
        <w:r w:rsidRPr="003F1097">
          <w:rPr>
            <w:rStyle w:val="Hyperlink"/>
            <w:rFonts w:ascii="Times New Roman" w:hAnsi="Times New Roman" w:cs="Times New Roman"/>
            <w:sz w:val="24"/>
            <w:szCs w:val="24"/>
            <w:lang w:val="vi-VN"/>
          </w:rPr>
          <w:t>113/2018/NĐ-CP</w:t>
        </w:r>
      </w:hyperlink>
      <w:r w:rsidRPr="003F1097">
        <w:rPr>
          <w:rFonts w:ascii="Times New Roman" w:hAnsi="Times New Roman" w:cs="Times New Roman"/>
          <w:sz w:val="24"/>
          <w:szCs w:val="24"/>
          <w:lang w:val="vi-VN"/>
        </w:rPr>
        <w:t xml:space="preserve"> đã được Cơ quan đại diện chủ sở hữu phê duyệt danh sách và dự toán kinh phí thực hiện trước ngày Nghị định này có hiệu lực thi hành nhưng chưa được cấp kinh phí từ Quỹ Hỗ trợ sắp xếp và phát triển doanh nghiệp để giải quyết chính sách tinh giản biên chế theo quy định thì thực hiện theo quy định tại Nghị định này.”</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xml:space="preserve">8. Sửa đổi Điều 24 Nghị định số </w:t>
      </w:r>
      <w:hyperlink r:id="rId30" w:tgtFrame="_blank" w:tooltip="Nghị định 108/2014/NĐ-CP" w:history="1">
        <w:r w:rsidRPr="003F1097">
          <w:rPr>
            <w:rStyle w:val="Hyperlink"/>
            <w:rFonts w:ascii="Times New Roman" w:hAnsi="Times New Roman" w:cs="Times New Roman"/>
            <w:sz w:val="24"/>
            <w:szCs w:val="24"/>
            <w:lang w:val="vi-VN"/>
          </w:rPr>
          <w:t>108/2014/NĐ-CP</w:t>
        </w:r>
      </w:hyperlink>
      <w:r w:rsidRPr="003F1097">
        <w:rPr>
          <w:rFonts w:ascii="Times New Roman" w:hAnsi="Times New Roman" w:cs="Times New Roman"/>
          <w:sz w:val="24"/>
          <w:szCs w:val="24"/>
          <w:lang w:val="vi-VN"/>
        </w:rPr>
        <w:t xml:space="preserve"> như sau:</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24. Hiệu lực thi hành</w:t>
      </w:r>
    </w:p>
    <w:p w:rsidR="003F1097" w:rsidRPr="003F1097" w:rsidRDefault="003F1097" w:rsidP="003F1097">
      <w:pPr>
        <w:spacing w:after="0"/>
        <w:rPr>
          <w:rFonts w:ascii="Times New Roman" w:hAnsi="Times New Roman" w:cs="Times New Roman"/>
          <w:b/>
          <w:color w:val="FF0000"/>
          <w:sz w:val="24"/>
          <w:szCs w:val="24"/>
        </w:rPr>
      </w:pPr>
      <w:r w:rsidRPr="003F1097">
        <w:rPr>
          <w:rFonts w:ascii="Times New Roman" w:hAnsi="Times New Roman" w:cs="Times New Roman"/>
          <w:b/>
          <w:color w:val="FF0000"/>
          <w:sz w:val="24"/>
          <w:szCs w:val="24"/>
          <w:lang w:val="vi-VN"/>
        </w:rPr>
        <w:t>Nghị định này có hiệu lực thi hành kể từ ngày 10 tháng 01 năm 2015. Các chế độ, chính sách quy định tại Nghị định này được áp dụng đến hết ngày 31 tháng 12 năm 2030.”</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2. Hiệu lực thi hành</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Nghị định này có hiệu lực thi hành kể từ ngày ký ban hành.</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Các quy định tại khoản 2, khoản 3, khoản 4 Điều 1 Nghị định này có hiệu lực thi hành kể từ ngày 01 tháng 01 năm 2021.</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b/>
          <w:bCs/>
          <w:sz w:val="24"/>
          <w:szCs w:val="24"/>
          <w:lang w:val="vi-VN"/>
        </w:rPr>
        <w:t>Điều 3. Trách nhiệm thi hành</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1. Ban Tổ chức Trung ương, Văn phòng Quốc hội, Văn phòng Chủ tịch nước, Tòa án nhân dân tối cao, Viện kiểm sát nhân dân tối cao, Kiểm toán Nhà nước căn cứ vào các quy định tại Nghị định này hướng dẫn, kiểm tra và chịu trách nhiệm về việc thực hiện tinh giản biên chế của các cơ quan, đơn vị thuộc quyền quản lý bảo đảm đúng đối tượng, chính sách theo quy định tại Nghị định này.</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2.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rsidR="003F1097" w:rsidRPr="003F1097" w:rsidRDefault="003F1097" w:rsidP="003F1097">
      <w:pPr>
        <w:spacing w:after="0"/>
        <w:rPr>
          <w:rFonts w:ascii="Times New Roman" w:hAnsi="Times New Roman" w:cs="Times New Roman"/>
          <w:sz w:val="24"/>
          <w:szCs w:val="24"/>
        </w:rPr>
      </w:pPr>
      <w:r w:rsidRPr="003F1097">
        <w:rPr>
          <w:rFonts w:ascii="Times New Roman" w:hAnsi="Times New Roman" w:cs="Times New Roman"/>
          <w:sz w:val="24"/>
          <w:szCs w:val="24"/>
          <w:lang w:val="vi-VN"/>
        </w:rPr>
        <w:t> </w:t>
      </w: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28"/>
        <w:gridCol w:w="4428"/>
      </w:tblGrid>
      <w:tr w:rsidR="003F1097" w:rsidRPr="003F1097" w:rsidTr="003F1097">
        <w:trPr>
          <w:tblCellSpacing w:w="0" w:type="dxa"/>
        </w:trPr>
        <w:tc>
          <w:tcPr>
            <w:tcW w:w="4428" w:type="dxa"/>
            <w:tcBorders>
              <w:top w:val="nil"/>
              <w:left w:val="nil"/>
              <w:bottom w:val="nil"/>
              <w:right w:val="nil"/>
            </w:tcBorders>
            <w:tcMar>
              <w:top w:w="0" w:type="dxa"/>
              <w:left w:w="108" w:type="dxa"/>
              <w:bottom w:w="0" w:type="dxa"/>
              <w:right w:w="108" w:type="dxa"/>
            </w:tcMar>
            <w:hideMark/>
          </w:tcPr>
          <w:p w:rsidR="00AF648B" w:rsidRPr="003F1097" w:rsidRDefault="003F1097" w:rsidP="003F1097">
            <w:pPr>
              <w:spacing w:after="0"/>
              <w:rPr>
                <w:rFonts w:ascii="Times New Roman" w:hAnsi="Times New Roman" w:cs="Times New Roman"/>
                <w:sz w:val="20"/>
                <w:szCs w:val="20"/>
              </w:rPr>
            </w:pPr>
            <w:r w:rsidRPr="003F1097">
              <w:rPr>
                <w:rFonts w:ascii="Times New Roman" w:hAnsi="Times New Roman" w:cs="Times New Roman"/>
                <w:sz w:val="20"/>
                <w:szCs w:val="20"/>
              </w:rPr>
              <w:br/>
            </w:r>
            <w:r w:rsidRPr="003F1097">
              <w:rPr>
                <w:rFonts w:ascii="Times New Roman" w:hAnsi="Times New Roman" w:cs="Times New Roman"/>
                <w:b/>
                <w:bCs/>
                <w:i/>
                <w:iCs/>
                <w:sz w:val="20"/>
                <w:szCs w:val="20"/>
                <w:lang w:val="vi-VN"/>
              </w:rPr>
              <w:t xml:space="preserve">Nơi nhận: </w:t>
            </w:r>
            <w:r w:rsidRPr="003F1097">
              <w:rPr>
                <w:rFonts w:ascii="Times New Roman" w:hAnsi="Times New Roman" w:cs="Times New Roman"/>
                <w:b/>
                <w:bCs/>
                <w:i/>
                <w:iCs/>
                <w:sz w:val="20"/>
                <w:szCs w:val="20"/>
                <w:lang w:val="vi-VN"/>
              </w:rPr>
              <w:br/>
            </w:r>
            <w:r w:rsidRPr="003F1097">
              <w:rPr>
                <w:rFonts w:ascii="Times New Roman" w:hAnsi="Times New Roman" w:cs="Times New Roman"/>
                <w:sz w:val="20"/>
                <w:szCs w:val="20"/>
                <w:lang w:val="vi-VN"/>
              </w:rPr>
              <w:t>- Ban Bí thư Trung ương Đảng;</w:t>
            </w:r>
            <w:r w:rsidRPr="003F1097">
              <w:rPr>
                <w:rFonts w:ascii="Times New Roman" w:hAnsi="Times New Roman" w:cs="Times New Roman"/>
                <w:sz w:val="20"/>
                <w:szCs w:val="20"/>
                <w:lang w:val="vi-VN"/>
              </w:rPr>
              <w:br/>
              <w:t>- Thủ tướng, các Phó Thủ tướng Chính phủ;</w:t>
            </w:r>
            <w:r w:rsidRPr="003F1097">
              <w:rPr>
                <w:rFonts w:ascii="Times New Roman" w:hAnsi="Times New Roman" w:cs="Times New Roman"/>
                <w:sz w:val="20"/>
                <w:szCs w:val="20"/>
                <w:lang w:val="vi-VN"/>
              </w:rPr>
              <w:br/>
              <w:t>- Các Bộ, cơ quan ngang bộ, cơ quan thuộc Chính phủ;</w:t>
            </w:r>
            <w:r w:rsidRPr="003F1097">
              <w:rPr>
                <w:rFonts w:ascii="Times New Roman" w:hAnsi="Times New Roman" w:cs="Times New Roman"/>
                <w:sz w:val="20"/>
                <w:szCs w:val="20"/>
                <w:lang w:val="vi-VN"/>
              </w:rPr>
              <w:br/>
              <w:t>- HĐND, UBND các tỉnh, thành phố trực thuộc trung ương;</w:t>
            </w:r>
            <w:r w:rsidRPr="003F1097">
              <w:rPr>
                <w:rFonts w:ascii="Times New Roman" w:hAnsi="Times New Roman" w:cs="Times New Roman"/>
                <w:sz w:val="20"/>
                <w:szCs w:val="20"/>
                <w:lang w:val="vi-VN"/>
              </w:rPr>
              <w:br/>
              <w:t>- Văn phòng Trung ương và các Ban của Đảng;</w:t>
            </w:r>
            <w:r w:rsidRPr="003F1097">
              <w:rPr>
                <w:rFonts w:ascii="Times New Roman" w:hAnsi="Times New Roman" w:cs="Times New Roman"/>
                <w:sz w:val="20"/>
                <w:szCs w:val="20"/>
                <w:lang w:val="vi-VN"/>
              </w:rPr>
              <w:br/>
              <w:t>- Văn phòng Tổng Bí thư;</w:t>
            </w:r>
            <w:r w:rsidRPr="003F1097">
              <w:rPr>
                <w:rFonts w:ascii="Times New Roman" w:hAnsi="Times New Roman" w:cs="Times New Roman"/>
                <w:sz w:val="20"/>
                <w:szCs w:val="20"/>
                <w:lang w:val="vi-VN"/>
              </w:rPr>
              <w:br/>
              <w:t>- Văn phòng Chủ tịch nước;</w:t>
            </w:r>
            <w:r w:rsidRPr="003F1097">
              <w:rPr>
                <w:rFonts w:ascii="Times New Roman" w:hAnsi="Times New Roman" w:cs="Times New Roman"/>
                <w:sz w:val="20"/>
                <w:szCs w:val="20"/>
                <w:lang w:val="vi-VN"/>
              </w:rPr>
              <w:br/>
              <w:t>- Văn phòng Quốc hội;</w:t>
            </w:r>
            <w:r w:rsidRPr="003F1097">
              <w:rPr>
                <w:rFonts w:ascii="Times New Roman" w:hAnsi="Times New Roman" w:cs="Times New Roman"/>
                <w:sz w:val="20"/>
                <w:szCs w:val="20"/>
                <w:lang w:val="vi-VN"/>
              </w:rPr>
              <w:br/>
              <w:t>- Hội đồng dân tộc và các Ủy ban của Quốc hội;</w:t>
            </w:r>
            <w:r w:rsidRPr="003F1097">
              <w:rPr>
                <w:rFonts w:ascii="Times New Roman" w:hAnsi="Times New Roman" w:cs="Times New Roman"/>
                <w:sz w:val="20"/>
                <w:szCs w:val="20"/>
                <w:lang w:val="vi-VN"/>
              </w:rPr>
              <w:br/>
              <w:t>- Tòa án nhân dân tối cao;</w:t>
            </w:r>
            <w:r w:rsidRPr="003F1097">
              <w:rPr>
                <w:rFonts w:ascii="Times New Roman" w:hAnsi="Times New Roman" w:cs="Times New Roman"/>
                <w:sz w:val="20"/>
                <w:szCs w:val="20"/>
                <w:lang w:val="vi-VN"/>
              </w:rPr>
              <w:br/>
              <w:t>- Viện kiểm sát nhân dân tối cao;</w:t>
            </w:r>
            <w:r w:rsidRPr="003F1097">
              <w:rPr>
                <w:rFonts w:ascii="Times New Roman" w:hAnsi="Times New Roman" w:cs="Times New Roman"/>
                <w:sz w:val="20"/>
                <w:szCs w:val="20"/>
                <w:lang w:val="vi-VN"/>
              </w:rPr>
              <w:br/>
              <w:t>- Kiểm toán nhà nước;</w:t>
            </w:r>
            <w:r w:rsidRPr="003F1097">
              <w:rPr>
                <w:rFonts w:ascii="Times New Roman" w:hAnsi="Times New Roman" w:cs="Times New Roman"/>
                <w:sz w:val="20"/>
                <w:szCs w:val="20"/>
                <w:lang w:val="vi-VN"/>
              </w:rPr>
              <w:br/>
              <w:t>- Ủy ban Giám sát tài chính Quốc gia;</w:t>
            </w:r>
            <w:r w:rsidRPr="003F1097">
              <w:rPr>
                <w:rFonts w:ascii="Times New Roman" w:hAnsi="Times New Roman" w:cs="Times New Roman"/>
                <w:sz w:val="20"/>
                <w:szCs w:val="20"/>
                <w:lang w:val="vi-VN"/>
              </w:rPr>
              <w:br/>
              <w:t>- Ngân hàng Chính sách xã hội;</w:t>
            </w:r>
            <w:r w:rsidRPr="003F1097">
              <w:rPr>
                <w:rFonts w:ascii="Times New Roman" w:hAnsi="Times New Roman" w:cs="Times New Roman"/>
                <w:sz w:val="20"/>
                <w:szCs w:val="20"/>
                <w:lang w:val="vi-VN"/>
              </w:rPr>
              <w:br/>
              <w:t>- Ngân hàng Phát triển Việt Nam;</w:t>
            </w:r>
            <w:r w:rsidRPr="003F1097">
              <w:rPr>
                <w:rFonts w:ascii="Times New Roman" w:hAnsi="Times New Roman" w:cs="Times New Roman"/>
                <w:sz w:val="20"/>
                <w:szCs w:val="20"/>
                <w:lang w:val="vi-VN"/>
              </w:rPr>
              <w:br/>
              <w:t>- Ủy ban trung ương Mặt trận Tổ quốc Việt Nam;</w:t>
            </w:r>
            <w:r w:rsidRPr="003F1097">
              <w:rPr>
                <w:rFonts w:ascii="Times New Roman" w:hAnsi="Times New Roman" w:cs="Times New Roman"/>
                <w:sz w:val="20"/>
                <w:szCs w:val="20"/>
                <w:lang w:val="vi-VN"/>
              </w:rPr>
              <w:br/>
              <w:t>- Cơ quan trung ương của các đoàn thể;</w:t>
            </w:r>
            <w:r w:rsidRPr="003F1097">
              <w:rPr>
                <w:rFonts w:ascii="Times New Roman" w:hAnsi="Times New Roman" w:cs="Times New Roman"/>
                <w:sz w:val="20"/>
                <w:szCs w:val="20"/>
                <w:lang w:val="vi-VN"/>
              </w:rPr>
              <w:br/>
              <w:t>- VPCP: BTCN, các PCN, Trợ lý TTg, TGĐ Cổng TTĐT, các Vụ, Cục, đơn vị trực thuộc, Công báo;</w:t>
            </w:r>
            <w:r w:rsidRPr="003F1097">
              <w:rPr>
                <w:rFonts w:ascii="Times New Roman" w:hAnsi="Times New Roman" w:cs="Times New Roman"/>
                <w:sz w:val="20"/>
                <w:szCs w:val="20"/>
                <w:lang w:val="vi-VN"/>
              </w:rPr>
              <w:br/>
              <w:t>- Lưu: VT, TCCV (2).</w:t>
            </w:r>
          </w:p>
        </w:tc>
        <w:tc>
          <w:tcPr>
            <w:tcW w:w="4428" w:type="dxa"/>
            <w:tcBorders>
              <w:top w:val="nil"/>
              <w:left w:val="nil"/>
              <w:bottom w:val="nil"/>
              <w:right w:val="nil"/>
            </w:tcBorders>
            <w:tcMar>
              <w:top w:w="0" w:type="dxa"/>
              <w:left w:w="108" w:type="dxa"/>
              <w:bottom w:w="0" w:type="dxa"/>
              <w:right w:w="108" w:type="dxa"/>
            </w:tcMar>
            <w:hideMark/>
          </w:tcPr>
          <w:p w:rsidR="00AF648B" w:rsidRPr="003F1097" w:rsidRDefault="003F1097" w:rsidP="00F0651A">
            <w:pPr>
              <w:spacing w:after="0"/>
              <w:jc w:val="center"/>
              <w:rPr>
                <w:rFonts w:ascii="Times New Roman" w:hAnsi="Times New Roman" w:cs="Times New Roman"/>
                <w:sz w:val="20"/>
                <w:szCs w:val="20"/>
              </w:rPr>
            </w:pPr>
            <w:bookmarkStart w:id="2" w:name="_GoBack"/>
            <w:r w:rsidRPr="003F1097">
              <w:rPr>
                <w:rFonts w:ascii="Times New Roman" w:hAnsi="Times New Roman" w:cs="Times New Roman"/>
                <w:b/>
                <w:bCs/>
                <w:sz w:val="20"/>
                <w:szCs w:val="20"/>
                <w:lang w:val="vi-VN"/>
              </w:rPr>
              <w:t>TM. CHÍNH PHỦ</w:t>
            </w:r>
            <w:r w:rsidRPr="003F1097">
              <w:rPr>
                <w:rFonts w:ascii="Times New Roman" w:hAnsi="Times New Roman" w:cs="Times New Roman"/>
                <w:b/>
                <w:bCs/>
                <w:sz w:val="20"/>
                <w:szCs w:val="20"/>
                <w:lang w:val="vi-VN"/>
              </w:rPr>
              <w:br/>
              <w:t>THỦ TƯỚNG</w:t>
            </w:r>
            <w:r w:rsidRPr="003F1097">
              <w:rPr>
                <w:rFonts w:ascii="Times New Roman" w:hAnsi="Times New Roman" w:cs="Times New Roman"/>
                <w:b/>
                <w:bCs/>
                <w:sz w:val="20"/>
                <w:szCs w:val="20"/>
                <w:lang w:val="vi-VN"/>
              </w:rPr>
              <w:br/>
            </w:r>
            <w:r w:rsidRPr="003F1097">
              <w:rPr>
                <w:rFonts w:ascii="Times New Roman" w:hAnsi="Times New Roman" w:cs="Times New Roman"/>
                <w:b/>
                <w:bCs/>
                <w:sz w:val="20"/>
                <w:szCs w:val="20"/>
                <w:lang w:val="vi-VN"/>
              </w:rPr>
              <w:br/>
            </w:r>
            <w:r w:rsidRPr="003F1097">
              <w:rPr>
                <w:rFonts w:ascii="Times New Roman" w:hAnsi="Times New Roman" w:cs="Times New Roman"/>
                <w:b/>
                <w:bCs/>
                <w:sz w:val="20"/>
                <w:szCs w:val="20"/>
                <w:lang w:val="vi-VN"/>
              </w:rPr>
              <w:br/>
            </w:r>
            <w:r w:rsidRPr="003F1097">
              <w:rPr>
                <w:rFonts w:ascii="Times New Roman" w:hAnsi="Times New Roman" w:cs="Times New Roman"/>
                <w:b/>
                <w:bCs/>
                <w:sz w:val="20"/>
                <w:szCs w:val="20"/>
                <w:lang w:val="vi-VN"/>
              </w:rPr>
              <w:br/>
            </w:r>
            <w:r w:rsidRPr="003F1097">
              <w:rPr>
                <w:rFonts w:ascii="Times New Roman" w:hAnsi="Times New Roman" w:cs="Times New Roman"/>
                <w:b/>
                <w:bCs/>
                <w:sz w:val="20"/>
                <w:szCs w:val="20"/>
                <w:lang w:val="vi-VN"/>
              </w:rPr>
              <w:br/>
              <w:t>Nguyễn Xuân Phúc</w:t>
            </w:r>
            <w:bookmarkEnd w:id="2"/>
          </w:p>
        </w:tc>
      </w:tr>
    </w:tbl>
    <w:p w:rsidR="003F1097" w:rsidRPr="003F1097" w:rsidRDefault="003F1097" w:rsidP="003F1097">
      <w:pPr>
        <w:spacing w:after="0"/>
        <w:rPr>
          <w:rFonts w:ascii="Times New Roman" w:hAnsi="Times New Roman" w:cs="Times New Roman"/>
          <w:sz w:val="20"/>
          <w:szCs w:val="20"/>
        </w:rPr>
      </w:pPr>
      <w:r w:rsidRPr="003F1097">
        <w:rPr>
          <w:rFonts w:ascii="Times New Roman" w:hAnsi="Times New Roman" w:cs="Times New Roman"/>
          <w:sz w:val="20"/>
          <w:szCs w:val="20"/>
        </w:rPr>
        <w:t> </w:t>
      </w:r>
    </w:p>
    <w:p w:rsidR="00A12244" w:rsidRPr="003F1097" w:rsidRDefault="00A12244" w:rsidP="003F1097">
      <w:pPr>
        <w:spacing w:after="0"/>
        <w:rPr>
          <w:rFonts w:ascii="Times New Roman" w:hAnsi="Times New Roman" w:cs="Times New Roman"/>
          <w:sz w:val="24"/>
          <w:szCs w:val="24"/>
        </w:rPr>
      </w:pPr>
    </w:p>
    <w:sectPr w:rsidR="00A12244" w:rsidRPr="003F1097" w:rsidSect="003F1097">
      <w:pgSz w:w="11907" w:h="16840" w:code="9"/>
      <w:pgMar w:top="426" w:right="850" w:bottom="56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097"/>
    <w:rsid w:val="00033321"/>
    <w:rsid w:val="003F1097"/>
    <w:rsid w:val="00A12244"/>
    <w:rsid w:val="00AF648B"/>
    <w:rsid w:val="00F0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09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10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2405518">
      <w:bodyDiv w:val="1"/>
      <w:marLeft w:val="0"/>
      <w:marRight w:val="0"/>
      <w:marTop w:val="0"/>
      <w:marBottom w:val="0"/>
      <w:divBdr>
        <w:top w:val="none" w:sz="0" w:space="0" w:color="auto"/>
        <w:left w:val="none" w:sz="0" w:space="0" w:color="auto"/>
        <w:bottom w:val="none" w:sz="0" w:space="0" w:color="auto"/>
        <w:right w:val="none" w:sz="0" w:space="0" w:color="auto"/>
      </w:divBdr>
      <w:divsChild>
        <w:div w:id="991102150">
          <w:marLeft w:val="0"/>
          <w:marRight w:val="0"/>
          <w:marTop w:val="0"/>
          <w:marBottom w:val="0"/>
          <w:divBdr>
            <w:top w:val="none" w:sz="0" w:space="0" w:color="auto"/>
            <w:left w:val="none" w:sz="0" w:space="0" w:color="auto"/>
            <w:bottom w:val="none" w:sz="0" w:space="0" w:color="auto"/>
            <w:right w:val="none" w:sz="0" w:space="0" w:color="auto"/>
          </w:divBdr>
          <w:divsChild>
            <w:div w:id="1603611102">
              <w:marLeft w:val="0"/>
              <w:marRight w:val="225"/>
              <w:marTop w:val="0"/>
              <w:marBottom w:val="0"/>
              <w:divBdr>
                <w:top w:val="none" w:sz="0" w:space="0" w:color="auto"/>
                <w:left w:val="none" w:sz="0" w:space="0" w:color="auto"/>
                <w:bottom w:val="none" w:sz="0" w:space="0" w:color="auto"/>
                <w:right w:val="none" w:sz="0" w:space="0" w:color="auto"/>
              </w:divBdr>
              <w:divsChild>
                <w:div w:id="665741505">
                  <w:marLeft w:val="0"/>
                  <w:marRight w:val="0"/>
                  <w:marTop w:val="0"/>
                  <w:marBottom w:val="0"/>
                  <w:divBdr>
                    <w:top w:val="none" w:sz="0" w:space="0" w:color="auto"/>
                    <w:left w:val="none" w:sz="0" w:space="0" w:color="auto"/>
                    <w:bottom w:val="none" w:sz="0" w:space="0" w:color="auto"/>
                    <w:right w:val="none" w:sz="0" w:space="0" w:color="auto"/>
                  </w:divBdr>
                  <w:divsChild>
                    <w:div w:id="1921522367">
                      <w:marLeft w:val="0"/>
                      <w:marRight w:val="0"/>
                      <w:marTop w:val="0"/>
                      <w:marBottom w:val="0"/>
                      <w:divBdr>
                        <w:top w:val="none" w:sz="0" w:space="0" w:color="auto"/>
                        <w:left w:val="none" w:sz="0" w:space="0" w:color="auto"/>
                        <w:bottom w:val="none" w:sz="0" w:space="0" w:color="auto"/>
                        <w:right w:val="none" w:sz="0" w:space="0" w:color="auto"/>
                      </w:divBdr>
                      <w:divsChild>
                        <w:div w:id="6331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nghi-dinh-108-2014-nd-cp-chinh-sach-tinh-gian-bien-che-258044.aspx" TargetMode="External"/><Relationship Id="rId13" Type="http://schemas.openxmlformats.org/officeDocument/2006/relationships/hyperlink" Target="https://thuvienphapluat.vn/van-ban/lao-dong-tien-luong/nghi-dinh-108-2014-nd-cp-chinh-sach-tinh-gian-bien-che-258044.aspx" TargetMode="External"/><Relationship Id="rId18" Type="http://schemas.openxmlformats.org/officeDocument/2006/relationships/hyperlink" Target="https://thuvienphapluat.vn/van-ban/lao-dong-tien-luong/nghi-dinh-108-2014-nd-cp-chinh-sach-tinh-gian-bien-che-258044.aspx" TargetMode="External"/><Relationship Id="rId26" Type="http://schemas.openxmlformats.org/officeDocument/2006/relationships/hyperlink" Target="https://thuvienphapluat.vn/van-ban/bo-may-hanh-chinh/nghi-dinh-113-2018-nd-cp-sua-doi-nghi-dinh-108-2014-nd-cp-ve-chinh-sach-tinh-gian-bien-che-393041.aspx" TargetMode="External"/><Relationship Id="rId3" Type="http://schemas.openxmlformats.org/officeDocument/2006/relationships/settings" Target="settings.xml"/><Relationship Id="rId21" Type="http://schemas.openxmlformats.org/officeDocument/2006/relationships/hyperlink" Target="https://thuvienphapluat.vn/van-ban/bo-may-hanh-chinh/nghi-dinh-113-2018-nd-cp-sua-doi-nghi-dinh-108-2014-nd-cp-ve-chinh-sach-tinh-gian-bien-che-393041.aspx" TargetMode="External"/><Relationship Id="rId7" Type="http://schemas.openxmlformats.org/officeDocument/2006/relationships/hyperlink" Target="https://thuvienphapluat.vn/van-ban/lao-dong-tien-luong/nghi-dinh-108-2014-nd-cp-chinh-sach-tinh-gian-bien-che-258044.aspx" TargetMode="External"/><Relationship Id="rId12" Type="http://schemas.openxmlformats.org/officeDocument/2006/relationships/hyperlink" Target="https://thuvienphapluat.vn/van-ban/bo-may-hanh-chinh/nghi-dinh-113-2018-nd-cp-sua-doi-nghi-dinh-108-2014-nd-cp-ve-chinh-sach-tinh-gian-bien-che-393041.aspx" TargetMode="External"/><Relationship Id="rId17" Type="http://schemas.openxmlformats.org/officeDocument/2006/relationships/hyperlink" Target="https://thuvienphapluat.vn/van-ban/lao-dong-tien-luong/nghi-dinh-108-2014-nd-cp-chinh-sach-tinh-gian-bien-che-258044.aspx" TargetMode="External"/><Relationship Id="rId25" Type="http://schemas.openxmlformats.org/officeDocument/2006/relationships/hyperlink" Target="https://thuvienphapluat.vn/van-ban/lao-dong-tien-luong/nghi-dinh-108-2014-nd-cp-chinh-sach-tinh-gian-bien-che-258044.aspx" TargetMode="External"/><Relationship Id="rId2" Type="http://schemas.microsoft.com/office/2007/relationships/stylesWithEffects" Target="stylesWithEffects.xml"/><Relationship Id="rId16" Type="http://schemas.openxmlformats.org/officeDocument/2006/relationships/hyperlink" Target="https://thuvienphapluat.vn/van-ban/bo-may-hanh-chinh/nghi-dinh-113-2018-nd-cp-sua-doi-nghi-dinh-108-2014-nd-cp-ve-chinh-sach-tinh-gian-bien-che-393041.aspx" TargetMode="External"/><Relationship Id="rId20" Type="http://schemas.openxmlformats.org/officeDocument/2006/relationships/hyperlink" Target="https://thuvienphapluat.vn/van-ban/lao-dong-tien-luong/nghi-dinh-108-2014-nd-cp-chinh-sach-tinh-gian-bien-che-258044.aspx" TargetMode="External"/><Relationship Id="rId29" Type="http://schemas.openxmlformats.org/officeDocument/2006/relationships/hyperlink" Target="https://thuvienphapluat.vn/van-ban/bo-may-hanh-chinh/nghi-dinh-113-2018-nd-cp-sua-doi-nghi-dinh-108-2014-nd-cp-ve-chinh-sach-tinh-gian-bien-che-393041.aspx" TargetMode="External"/><Relationship Id="rId1" Type="http://schemas.openxmlformats.org/officeDocument/2006/relationships/styles" Target="styles.xml"/><Relationship Id="rId6" Type="http://schemas.openxmlformats.org/officeDocument/2006/relationships/hyperlink" Target="https://thuvienphapluat.vn/van-ban/bo-may-hanh-chinh/nghi-dinh-113-2018-nd-cp-sua-doi-nghi-dinh-108-2014-nd-cp-ve-chinh-sach-tinh-gian-bien-che-393041.aspx" TargetMode="External"/><Relationship Id="rId11" Type="http://schemas.openxmlformats.org/officeDocument/2006/relationships/hyperlink" Target="https://thuvienphapluat.vn/van-ban/lao-dong-tien-luong/nghi-dinh-108-2014-nd-cp-chinh-sach-tinh-gian-bien-che-258044.aspx" TargetMode="External"/><Relationship Id="rId24" Type="http://schemas.openxmlformats.org/officeDocument/2006/relationships/hyperlink" Target="https://thuvienphapluat.vn/van-ban/bo-may-hanh-chinh/nghi-dinh-113-2018-nd-cp-sua-doi-nghi-dinh-108-2014-nd-cp-ve-chinh-sach-tinh-gian-bien-che-393041.aspx" TargetMode="External"/><Relationship Id="rId32" Type="http://schemas.openxmlformats.org/officeDocument/2006/relationships/theme" Target="theme/theme1.xml"/><Relationship Id="rId5" Type="http://schemas.openxmlformats.org/officeDocument/2006/relationships/hyperlink" Target="https://thuvienphapluat.vn/van-ban/lao-dong-tien-luong/nghi-dinh-108-2014-nd-cp-chinh-sach-tinh-gian-bien-che-258044.aspx" TargetMode="External"/><Relationship Id="rId15" Type="http://schemas.openxmlformats.org/officeDocument/2006/relationships/hyperlink" Target="https://thuvienphapluat.vn/van-ban/lao-dong-tien-luong/nghi-dinh-108-2014-nd-cp-chinh-sach-tinh-gian-bien-che-258044.aspx" TargetMode="External"/><Relationship Id="rId23" Type="http://schemas.openxmlformats.org/officeDocument/2006/relationships/hyperlink" Target="https://thuvienphapluat.vn/van-ban/lao-dong-tien-luong/nghi-dinh-108-2014-nd-cp-chinh-sach-tinh-gian-bien-che-258044.aspx" TargetMode="External"/><Relationship Id="rId28" Type="http://schemas.openxmlformats.org/officeDocument/2006/relationships/hyperlink" Target="https://thuvienphapluat.vn/van-ban/lao-dong-tien-luong/nghi-dinh-108-2014-nd-cp-chinh-sach-tinh-gian-bien-che-258044.aspx" TargetMode="External"/><Relationship Id="rId10" Type="http://schemas.openxmlformats.org/officeDocument/2006/relationships/hyperlink" Target="https://thuvienphapluat.vn/van-ban/lao-dong-tien-luong/nghi-dinh-108-2014-nd-cp-chinh-sach-tinh-gian-bien-che-258044.aspx" TargetMode="External"/><Relationship Id="rId19" Type="http://schemas.openxmlformats.org/officeDocument/2006/relationships/hyperlink" Target="https://thuvienphapluat.vn/van-ban/lao-dong-tien-luong/nghi-dinh-108-2014-nd-cp-chinh-sach-tinh-gian-bien-che-258044.aspx"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o-may-hanh-chinh/nghi-dinh-113-2018-nd-cp-sua-doi-nghi-dinh-108-2014-nd-cp-ve-chinh-sach-tinh-gian-bien-che-393041.aspx" TargetMode="External"/><Relationship Id="rId14" Type="http://schemas.openxmlformats.org/officeDocument/2006/relationships/hyperlink" Target="https://thuvienphapluat.vn/van-ban/bo-may-hanh-chinh/nghi-dinh-113-2018-nd-cp-sua-doi-nghi-dinh-108-2014-nd-cp-ve-chinh-sach-tinh-gian-bien-che-393041.aspx" TargetMode="External"/><Relationship Id="rId22" Type="http://schemas.openxmlformats.org/officeDocument/2006/relationships/hyperlink" Target="https://thuvienphapluat.vn/van-ban/bo-may-hanh-chinh/nghi-dinh-113-2018-nd-cp-sua-doi-nghi-dinh-108-2014-nd-cp-ve-chinh-sach-tinh-gian-bien-che-393041.aspx" TargetMode="External"/><Relationship Id="rId27" Type="http://schemas.openxmlformats.org/officeDocument/2006/relationships/hyperlink" Target="https://thuvienphapluat.vn/van-ban/lao-dong-tien-luong/nghi-dinh-108-2014-nd-cp-chinh-sach-tinh-gian-bien-che-258044.aspx" TargetMode="External"/><Relationship Id="rId30" Type="http://schemas.openxmlformats.org/officeDocument/2006/relationships/hyperlink" Target="https://thuvienphapluat.vn/van-ban/lao-dong-tien-luong/nghi-dinh-108-2014-nd-cp-chinh-sach-tinh-gian-bien-che-25804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2655</Words>
  <Characters>15138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cp:lastPrinted>2020-12-16T01:09:00Z</cp:lastPrinted>
  <dcterms:created xsi:type="dcterms:W3CDTF">2020-12-16T01:02:00Z</dcterms:created>
  <dcterms:modified xsi:type="dcterms:W3CDTF">2021-01-08T07:55:00Z</dcterms:modified>
</cp:coreProperties>
</file>