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200" w:type="dxa"/>
        <w:jc w:val="center"/>
        <w:tblCellSpacing w:w="15" w:type="dxa"/>
        <w:shd w:val="clear" w:color="auto" w:fill="F9F9F9"/>
        <w:tblCellMar>
          <w:left w:w="0" w:type="dxa"/>
          <w:right w:w="0" w:type="dxa"/>
        </w:tblCellMar>
        <w:tblLook w:val="04A0" w:firstRow="1" w:lastRow="0" w:firstColumn="1" w:lastColumn="0" w:noHBand="0" w:noVBand="1"/>
      </w:tblPr>
      <w:tblGrid>
        <w:gridCol w:w="6821"/>
        <w:gridCol w:w="6379"/>
      </w:tblGrid>
      <w:tr w:rsidR="00D11A13" w:rsidRPr="00D11A13" w:rsidTr="00D11A13">
        <w:trPr>
          <w:tblCellSpacing w:w="15" w:type="dxa"/>
          <w:jc w:val="center"/>
        </w:trPr>
        <w:tc>
          <w:tcPr>
            <w:tcW w:w="0" w:type="auto"/>
            <w:shd w:val="clear" w:color="auto" w:fill="auto"/>
            <w:vAlign w:val="center"/>
            <w:hideMark/>
          </w:tcPr>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b/>
                <w:bCs/>
                <w:sz w:val="24"/>
                <w:szCs w:val="24"/>
              </w:rPr>
              <w:t>BAN CHẤP HÀNH TRUNG ƯƠNG</w:t>
            </w:r>
          </w:p>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sz w:val="24"/>
                <w:szCs w:val="24"/>
              </w:rPr>
              <w:t>*</w:t>
            </w:r>
          </w:p>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sz w:val="24"/>
                <w:szCs w:val="24"/>
              </w:rPr>
              <w:t>Số: 13-TB/TW</w:t>
            </w:r>
          </w:p>
        </w:tc>
        <w:tc>
          <w:tcPr>
            <w:tcW w:w="0" w:type="auto"/>
            <w:shd w:val="clear" w:color="auto" w:fill="auto"/>
            <w:vAlign w:val="center"/>
            <w:hideMark/>
          </w:tcPr>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b/>
                <w:bCs/>
                <w:sz w:val="24"/>
                <w:szCs w:val="24"/>
              </w:rPr>
              <w:t>ĐẢNG CỘNG SẢN VIỆT NAM</w:t>
            </w:r>
          </w:p>
          <w:p w:rsidR="00D11A13" w:rsidRPr="00D11A13" w:rsidRDefault="00D11A13" w:rsidP="00D11A13">
            <w:pPr>
              <w:jc w:val="center"/>
              <w:rPr>
                <w:rFonts w:ascii="Times New Roman" w:hAnsi="Times New Roman" w:cs="Times New Roman"/>
                <w:sz w:val="24"/>
                <w:szCs w:val="24"/>
              </w:rPr>
            </w:pPr>
          </w:p>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i/>
                <w:iCs/>
                <w:sz w:val="24"/>
                <w:szCs w:val="24"/>
              </w:rPr>
              <w:t>Hà Nội, ngày 17 tháng 08 năm 2016</w:t>
            </w:r>
          </w:p>
        </w:tc>
      </w:tr>
    </w:tbl>
    <w:p w:rsidR="00D11A13" w:rsidRPr="00D11A13" w:rsidRDefault="00D11A13" w:rsidP="00D11A13">
      <w:pPr>
        <w:jc w:val="center"/>
        <w:rPr>
          <w:rFonts w:ascii="Times New Roman" w:hAnsi="Times New Roman" w:cs="Times New Roman"/>
          <w:sz w:val="24"/>
          <w:szCs w:val="24"/>
        </w:rPr>
      </w:pPr>
    </w:p>
    <w:p w:rsidR="00D11A13" w:rsidRPr="00D11A13" w:rsidRDefault="00D11A13" w:rsidP="00D11A13">
      <w:pPr>
        <w:jc w:val="center"/>
        <w:rPr>
          <w:rFonts w:ascii="Times New Roman" w:hAnsi="Times New Roman" w:cs="Times New Roman"/>
          <w:sz w:val="24"/>
          <w:szCs w:val="24"/>
        </w:rPr>
      </w:pPr>
      <w:r w:rsidRPr="00D11A13">
        <w:rPr>
          <w:rFonts w:ascii="Times New Roman" w:hAnsi="Times New Roman" w:cs="Times New Roman"/>
          <w:sz w:val="24"/>
          <w:szCs w:val="24"/>
        </w:rPr>
        <w:t>KẾT LUẬN CỦA BAN BÍ THƯ</w:t>
      </w:r>
    </w:p>
    <w:p w:rsidR="00D11A13" w:rsidRPr="00D11A13" w:rsidRDefault="00D11A13" w:rsidP="00D11A13">
      <w:pPr>
        <w:jc w:val="center"/>
        <w:rPr>
          <w:rFonts w:ascii="Times New Roman" w:hAnsi="Times New Roman" w:cs="Times New Roman"/>
          <w:sz w:val="24"/>
          <w:szCs w:val="24"/>
        </w:rPr>
      </w:pPr>
      <w:proofErr w:type="gramStart"/>
      <w:r w:rsidRPr="00D11A13">
        <w:rPr>
          <w:rFonts w:ascii="Times New Roman" w:hAnsi="Times New Roman" w:cs="Times New Roman"/>
          <w:b/>
          <w:bCs/>
          <w:sz w:val="24"/>
          <w:szCs w:val="24"/>
        </w:rPr>
        <w:t>về</w:t>
      </w:r>
      <w:proofErr w:type="gramEnd"/>
      <w:r w:rsidRPr="00D11A13">
        <w:rPr>
          <w:rFonts w:ascii="Times New Roman" w:hAnsi="Times New Roman" w:cs="Times New Roman"/>
          <w:b/>
          <w:bCs/>
          <w:sz w:val="24"/>
          <w:szCs w:val="24"/>
        </w:rPr>
        <w:t xml:space="preserve"> xác định tuổi của đảng viên</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b/>
          <w:bCs/>
          <w:sz w:val="24"/>
          <w:szCs w:val="24"/>
        </w:rPr>
        <w:t> </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Những năm gần đây, việc sửa lại tuổi của một số cán bộ, đảng viên, nhất là vào thời điểm chuẩn bị đại hội Đảng, bầu cử Quốc hội, Hội đồng nhân dân, Uỷ ban nhân dân các cấp hoặc trước khi xem xét quy hoạch, đề bạt, bổ nhiệm, giới thiệu cán bộ ứng cử và khi cán bộ chuẩn bị đến tuổi nghỉ hưu... đã gây ra những khó khăn, vướng mắc, bất cập đối với các cấp uỷ, tổ chức đảng và cơ quan, đơn vị ở các cấp trong công tác cán bộ; đồng thời tạo ra dư luận không tốt trong đội ngũ cán bộ, đảng viên và nhân dân.</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Để bảo đảm nguyên tắc Đảng thống nhất lãnh đạo công tác cán bộ và quản lý đội ngũ cán bộ theo quy định của Điều lệ Đảng, đồng thời phát huy vai trò tiên phong, gương mẫu của đảng viên, thực hiện lời thề khi vào Đảng và kịp thời chấn chỉnh tình trạng nêu trên, tại phiên họp ngày 16-8-2016, sau khi xem xét đề nghị của các cơ quan liên quan về quan điểm, chủ trương và phương án xem xét, xác định tuổi của cán bộ, đảng viên, Ban Bí thư đã thảo luận, phân tích, cân nhắc kỹ lưỡng nhiều mặt và kết luận:</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1- Kể từ ngày 18-8-2016, không xem xét điều chỉnh tuổi của đảng viên mà thống nhất xác định tuổi của đảng viên theo tuổi khai trong hồ sơ Lý lịch đảng viên (hồ sơ gốc) khi được kết nạp vào Đảng. Đây là căn cứ, cơ sở để các cấp uỷ, tổ chức đảng có thẩm quyền xem xét khi quy hoạch, bổ nhiệm, giới thiệu cán bộ ứng cử; bố trí, sử dụng và thực hiện chế độ, chính sách đối với cán bộ là đảng viên.</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2- Giao cho Ban Tổ chức Trung ương chủ trì, phối hợp với Uỷ ban Kiểm tra Trung ương và các cơ quan liên quan tiến hành rà soát, đề xuất cấp có thẩm quyền xem xét, sửa đổi, bổ sung các quy định liên quan đến việc xác định tuổi của đảng viên; đôn đốc, kiểm tra, giám sát, bảo đảm thực hiện nghiêm túc Thông báo kết luận này.</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3- Các cấp uỷ, tổ chức đảng cần lãnh đạo làm tốt công tác chính trị, tư tưởng; nêu cao tính gương mẫu của cán bộ, đảng viên, nghiêm túc thực hiện Thông báo kết luận này.</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4- Thông báo kết luận này được phổ biến đến chi bộ để tổ chức thực hiện</w:t>
      </w:r>
      <w:proofErr w:type="gramStart"/>
      <w:r w:rsidRPr="00D11A13">
        <w:rPr>
          <w:rFonts w:ascii="Times New Roman" w:hAnsi="Times New Roman" w:cs="Times New Roman"/>
          <w:sz w:val="24"/>
          <w:szCs w:val="24"/>
        </w:rPr>
        <w:t>./</w:t>
      </w:r>
      <w:proofErr w:type="gramEnd"/>
      <w:r w:rsidRPr="00D11A13">
        <w:rPr>
          <w:rFonts w:ascii="Times New Roman" w:hAnsi="Times New Roman" w:cs="Times New Roman"/>
          <w:sz w:val="24"/>
          <w:szCs w:val="24"/>
        </w:rPr>
        <w:t>.</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 </w:t>
      </w:r>
    </w:p>
    <w:tbl>
      <w:tblPr>
        <w:tblW w:w="13200" w:type="dxa"/>
        <w:tblCellSpacing w:w="0" w:type="dxa"/>
        <w:shd w:val="clear" w:color="auto" w:fill="FFFFFF"/>
        <w:tblCellMar>
          <w:left w:w="0" w:type="dxa"/>
          <w:right w:w="0" w:type="dxa"/>
        </w:tblCellMar>
        <w:tblLook w:val="04A0" w:firstRow="1" w:lastRow="0" w:firstColumn="1" w:lastColumn="0" w:noHBand="0" w:noVBand="1"/>
      </w:tblPr>
      <w:tblGrid>
        <w:gridCol w:w="6600"/>
        <w:gridCol w:w="6600"/>
      </w:tblGrid>
      <w:tr w:rsidR="00D11A13" w:rsidRPr="00D11A13" w:rsidTr="00D11A13">
        <w:trPr>
          <w:tblCellSpacing w:w="0" w:type="dxa"/>
        </w:trPr>
        <w:tc>
          <w:tcPr>
            <w:tcW w:w="4428" w:type="dxa"/>
            <w:shd w:val="clear" w:color="auto" w:fill="auto"/>
            <w:tcMar>
              <w:top w:w="0" w:type="dxa"/>
              <w:left w:w="108" w:type="dxa"/>
              <w:bottom w:w="0" w:type="dxa"/>
              <w:right w:w="108" w:type="dxa"/>
            </w:tcMar>
            <w:vAlign w:val="center"/>
            <w:hideMark/>
          </w:tcPr>
          <w:p w:rsidR="00D11A13" w:rsidRPr="00D11A13" w:rsidRDefault="00D11A13" w:rsidP="00D11A13">
            <w:pPr>
              <w:rPr>
                <w:rFonts w:ascii="Times New Roman" w:hAnsi="Times New Roman" w:cs="Times New Roman"/>
                <w:sz w:val="24"/>
                <w:szCs w:val="24"/>
              </w:rPr>
            </w:pPr>
            <w:bookmarkStart w:id="0" w:name="_GoBack" w:colFirst="1" w:colLast="1"/>
            <w:r w:rsidRPr="00D11A13">
              <w:rPr>
                <w:rFonts w:ascii="Times New Roman" w:hAnsi="Times New Roman" w:cs="Times New Roman"/>
                <w:sz w:val="24"/>
                <w:szCs w:val="24"/>
              </w:rPr>
              <w:t> </w:t>
            </w:r>
          </w:p>
        </w:tc>
        <w:tc>
          <w:tcPr>
            <w:tcW w:w="4428" w:type="dxa"/>
            <w:shd w:val="clear" w:color="auto" w:fill="auto"/>
            <w:tcMar>
              <w:top w:w="0" w:type="dxa"/>
              <w:left w:w="108" w:type="dxa"/>
              <w:bottom w:w="0" w:type="dxa"/>
              <w:right w:w="108" w:type="dxa"/>
            </w:tcMar>
            <w:vAlign w:val="center"/>
            <w:hideMark/>
          </w:tcPr>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b/>
                <w:bCs/>
                <w:sz w:val="24"/>
                <w:szCs w:val="24"/>
              </w:rPr>
              <w:t>T/M BAN BÍ THƯ</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i/>
                <w:iCs/>
                <w:sz w:val="24"/>
                <w:szCs w:val="24"/>
              </w:rPr>
              <w:t>(đã ký)</w:t>
            </w:r>
          </w:p>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b/>
                <w:bCs/>
                <w:sz w:val="24"/>
                <w:szCs w:val="24"/>
              </w:rPr>
              <w:t>Phạm Minh Chính</w:t>
            </w:r>
          </w:p>
        </w:tc>
      </w:tr>
    </w:tbl>
    <w:bookmarkEnd w:id="0"/>
    <w:p w:rsidR="00D11A13" w:rsidRPr="00D11A13" w:rsidRDefault="00D11A13" w:rsidP="00D11A13">
      <w:pPr>
        <w:rPr>
          <w:rFonts w:ascii="Times New Roman" w:hAnsi="Times New Roman" w:cs="Times New Roman"/>
          <w:sz w:val="24"/>
          <w:szCs w:val="24"/>
        </w:rPr>
      </w:pPr>
      <w:r w:rsidRPr="00D11A13">
        <w:rPr>
          <w:rFonts w:ascii="Times New Roman" w:hAnsi="Times New Roman" w:cs="Times New Roman"/>
          <w:sz w:val="24"/>
          <w:szCs w:val="24"/>
        </w:rPr>
        <w:t> </w:t>
      </w:r>
    </w:p>
    <w:p w:rsidR="005F53E4" w:rsidRPr="00D11A13" w:rsidRDefault="005F53E4">
      <w:pPr>
        <w:rPr>
          <w:rFonts w:ascii="Times New Roman" w:hAnsi="Times New Roman" w:cs="Times New Roman"/>
          <w:sz w:val="24"/>
          <w:szCs w:val="24"/>
        </w:rPr>
      </w:pPr>
    </w:p>
    <w:sectPr w:rsidR="005F53E4" w:rsidRPr="00D11A13" w:rsidSect="00631487">
      <w:pgSz w:w="12240" w:h="15840"/>
      <w:pgMar w:top="1134" w:right="107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A13"/>
    <w:rsid w:val="005F53E4"/>
    <w:rsid w:val="00631487"/>
    <w:rsid w:val="00D11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5CC4B-4DEF-4138-8D03-FFC58CD4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3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Huong Lien  Nguyen</dc:creator>
  <cp:keywords/>
  <dc:description/>
  <cp:lastModifiedBy>Thi Huong Lien  Nguyen</cp:lastModifiedBy>
  <cp:revision>1</cp:revision>
  <dcterms:created xsi:type="dcterms:W3CDTF">2021-08-27T07:00:00Z</dcterms:created>
  <dcterms:modified xsi:type="dcterms:W3CDTF">2021-08-27T07:03:00Z</dcterms:modified>
</cp:coreProperties>
</file>