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LCMS — Kết quả triển khai bảng giá đa tuyến, nấc trọng lượng và tương phản UI</w:t>
      </w:r>
    </w:p>
    <w:p>
      <w:r>
        <w:t>Mã: LCMS-RATE-CR-20261014-02  |  Phiên bản: v1.1  |  Ngày: 14/10/2026</w:t>
      </w:r>
    </w:p>
    <w:p>
      <w:r>
        <w:t>Căn cứ: Specification.docx và AC_Traceability.xlsx trong cùng gói. Kết quả dưới đây chỉ ghi PASS khi đã có kiểm thử tự động trong phiên này.</w:t>
      </w:r>
    </w:p>
    <w:p>
      <w:pPr>
        <w:pStyle w:val="Heading1"/>
      </w:pPr>
      <w:r>
        <w:t>1. Đã làm</w:t>
      </w:r>
    </w:p>
    <w:p>
      <w:pPr>
        <w:pStyle w:val="ListBullet"/>
      </w:pPr>
      <w:r>
        <w:t>Giữ một Rating Engine. Lọc quy tắc theo tuyến có hướng, hãng, loại trọng lượng và nấc [min, max). Không tạo engine thứ hai.</w:t>
      </w:r>
    </w:p>
    <w:p>
      <w:pPr>
        <w:pStyle w:val="ListBullet"/>
      </w:pPr>
      <w:r>
        <w:t>Header bảng giá khi tạo/sửa không còn Tuyến và Hãng vận chuyển. Tiền tệ duy nhất ở header; quy tắc gửi khác tiền tệ bị từ chối.</w:t>
      </w:r>
    </w:p>
    <w:p>
      <w:pPr>
        <w:pStyle w:val="ListBullet"/>
      </w:pPr>
      <w:r>
        <w:t>Quy tắc cơ bản lưu route_id hoặc Tất cả tuyến, carrier_party_id, weight_basis, weight_min, weight_max. Ma trận nâng cao lưu nhiều nhóm, mỗi nhóm có tuyến, hãng và phương thức.</w:t>
      </w:r>
    </w:p>
    <w:p>
      <w:pPr>
        <w:pStyle w:val="ListBullet"/>
      </w:pPr>
      <w:r>
        <w:t>Đổi hình thức khi đã có dữ liệu vẫn mở hộp xác nhận. Không xóa dữ liệu đã lưu trước khi người dùng bấm Lưu nháp.</w:t>
      </w:r>
    </w:p>
    <w:p>
      <w:pPr>
        <w:pStyle w:val="ListBullet"/>
      </w:pPr>
      <w:r>
        <w:t>Phát hành chặn hai quy tắc cùng khoản mục, cùng điều kiện và nấc chồng nhau (RATE_CONFLICT). Khác khoản mục thì không chặn. Cùng khoản mục và cùng nấc khi tính giá vẫn báo AMBIGUOUS_RATE_RULE, không cộng trùng và không chọn ngẫu nhiên.</w:t>
      </w:r>
    </w:p>
    <w:p>
      <w:pPr>
        <w:pStyle w:val="ListBullet"/>
      </w:pPr>
      <w:r>
        <w:t>Migration 20261014100816_RateRuleScopeWeightBand thêm cột trên pricing_rules, bảng rate_scope_migration_logs, copy route/carrier từ header xuống quy tắc và đánh dấu mọi tuyến khi dữ liệu cũ để trống. Không cập nhật bảng rating.</w:t>
      </w:r>
    </w:p>
    <w:p>
      <w:pPr>
        <w:pStyle w:val="ListBullet"/>
      </w:pPr>
      <w:r>
        <w:t>Form khai báo dùng lớp rate-declaration: viền, nền khối và chữ/placeholder đo được trên ngưỡng WCAG AA. Không đổi sidebar và không thay icon SVG.</w:t>
      </w:r>
    </w:p>
    <w:p>
      <w:pPr>
        <w:pStyle w:val="Heading1"/>
      </w:pPr>
      <w:r>
        <w:t>2. Kiểm thử đã chạy</w:t>
      </w:r>
    </w:p>
    <w:p>
      <w:r>
        <w:t>dotnet test --filter RateWeightBandTests: 20 passed.</w:t>
      </w:r>
    </w:p>
    <w:p>
      <w:r>
        <w:t>vitest components/RateCardDeclarationForm.test.tsx: 11 passed.</w:t>
      </w:r>
    </w:p>
    <w:p>
      <w:r>
        <w:t>Tỷ lệ tương phản tính từ mã màu trong .rate-declaration (WCAG relative luminance), không phải đo trên trình duyệt đã đăng nhập.</w:t>
      </w:r>
    </w:p>
    <w:p>
      <w:pPr>
        <w:pStyle w:val="Heading1"/>
      </w:pPr>
      <w:r>
        <w:t>3. Tương phản đã tính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Cặp màu</w:t>
            </w:r>
          </w:p>
        </w:tc>
        <w:tc>
          <w:tcPr>
            <w:tcW w:type="dxa" w:w="2880"/>
          </w:tcPr>
          <w:p>
            <w:r>
              <w:t>Tỷ lệ</w:t>
            </w:r>
          </w:p>
        </w:tc>
        <w:tc>
          <w:tcPr>
            <w:tcW w:type="dxa" w:w="2880"/>
          </w:tcPr>
          <w:p>
            <w:r>
              <w:t>Ngưỡng</w:t>
            </w:r>
          </w:p>
        </w:tc>
      </w:tr>
      <w:tr>
        <w:tc>
          <w:tcPr>
            <w:tcW w:type="dxa" w:w="2880"/>
          </w:tcPr>
          <w:p>
            <w:r>
              <w:t>Chữ #1a2332 trên nền trắng</w:t>
            </w:r>
          </w:p>
        </w:tc>
        <w:tc>
          <w:tcPr>
            <w:tcW w:type="dxa" w:w="2880"/>
          </w:tcPr>
          <w:p>
            <w:r>
              <w:t>15.78:1</w:t>
            </w:r>
          </w:p>
        </w:tc>
        <w:tc>
          <w:tcPr>
            <w:tcW w:type="dxa" w:w="2880"/>
          </w:tcPr>
          <w:p>
            <w:r>
              <w:t>4.5:1</w:t>
            </w:r>
          </w:p>
        </w:tc>
      </w:tr>
      <w:tr>
        <w:tc>
          <w:tcPr>
            <w:tcW w:type="dxa" w:w="2880"/>
          </w:tcPr>
          <w:p>
            <w:r>
              <w:t>Chữ trên khối thông tin chung #f4f7fb</w:t>
            </w:r>
          </w:p>
        </w:tc>
        <w:tc>
          <w:tcPr>
            <w:tcW w:type="dxa" w:w="2880"/>
          </w:tcPr>
          <w:p>
            <w:r>
              <w:t>14.69:1</w:t>
            </w:r>
          </w:p>
        </w:tc>
        <w:tc>
          <w:tcPr>
            <w:tcW w:type="dxa" w:w="2880"/>
          </w:tcPr>
          <w:p>
            <w:r>
              <w:t>4.5:1</w:t>
            </w:r>
          </w:p>
        </w:tc>
      </w:tr>
      <w:tr>
        <w:tc>
          <w:tcPr>
            <w:tcW w:type="dxa" w:w="2880"/>
          </w:tcPr>
          <w:p>
            <w:r>
              <w:t>Chữ trên khối hình thức #e7eef6</w:t>
            </w:r>
          </w:p>
        </w:tc>
        <w:tc>
          <w:tcPr>
            <w:tcW w:type="dxa" w:w="2880"/>
          </w:tcPr>
          <w:p>
            <w:r>
              <w:t>13.50:1</w:t>
            </w:r>
          </w:p>
        </w:tc>
        <w:tc>
          <w:tcPr>
            <w:tcW w:type="dxa" w:w="2880"/>
          </w:tcPr>
          <w:p>
            <w:r>
              <w:t>4.5:1</w:t>
            </w:r>
          </w:p>
        </w:tc>
      </w:tr>
      <w:tr>
        <w:tc>
          <w:tcPr>
            <w:tcW w:type="dxa" w:w="2880"/>
          </w:tcPr>
          <w:p>
            <w:r>
              <w:t>Chữ header cột #e4ebf5</w:t>
            </w:r>
          </w:p>
        </w:tc>
        <w:tc>
          <w:tcPr>
            <w:tcW w:type="dxa" w:w="2880"/>
          </w:tcPr>
          <w:p>
            <w:r>
              <w:t>13.15:1</w:t>
            </w:r>
          </w:p>
        </w:tc>
        <w:tc>
          <w:tcPr>
            <w:tcW w:type="dxa" w:w="2880"/>
          </w:tcPr>
          <w:p>
            <w:r>
              <w:t>4.5:1</w:t>
            </w:r>
          </w:p>
        </w:tc>
      </w:tr>
      <w:tr>
        <w:tc>
          <w:tcPr>
            <w:tcW w:type="dxa" w:w="2880"/>
          </w:tcPr>
          <w:p>
            <w:r>
              <w:t>Placeholder #3e4c63 trên trắng</w:t>
            </w:r>
          </w:p>
        </w:tc>
        <w:tc>
          <w:tcPr>
            <w:tcW w:type="dxa" w:w="2880"/>
          </w:tcPr>
          <w:p>
            <w:r>
              <w:t>8.68:1</w:t>
            </w:r>
          </w:p>
        </w:tc>
        <w:tc>
          <w:tcPr>
            <w:tcW w:type="dxa" w:w="2880"/>
          </w:tcPr>
          <w:p>
            <w:r>
              <w:t>4.5:1</w:t>
            </w:r>
          </w:p>
        </w:tc>
      </w:tr>
      <w:tr>
        <w:tc>
          <w:tcPr>
            <w:tcW w:type="dxa" w:w="2880"/>
          </w:tcPr>
          <w:p>
            <w:r>
              <w:t>Viền #4d5d73 trên trắng</w:t>
            </w:r>
          </w:p>
        </w:tc>
        <w:tc>
          <w:tcPr>
            <w:tcW w:type="dxa" w:w="2880"/>
          </w:tcPr>
          <w:p>
            <w:r>
              <w:t>6.71:1</w:t>
            </w:r>
          </w:p>
        </w:tc>
        <w:tc>
          <w:tcPr>
            <w:tcW w:type="dxa" w:w="2880"/>
          </w:tcPr>
          <w:p>
            <w:r>
              <w:t>3:1</w:t>
            </w:r>
          </w:p>
        </w:tc>
      </w:tr>
      <w:tr>
        <w:tc>
          <w:tcPr>
            <w:tcW w:type="dxa" w:w="2880"/>
          </w:tcPr>
          <w:p>
            <w:r>
              <w:t>Viền trên khối hình thức</w:t>
            </w:r>
          </w:p>
        </w:tc>
        <w:tc>
          <w:tcPr>
            <w:tcW w:type="dxa" w:w="2880"/>
          </w:tcPr>
          <w:p>
            <w:r>
              <w:t>5.74:1</w:t>
            </w:r>
          </w:p>
        </w:tc>
        <w:tc>
          <w:tcPr>
            <w:tcW w:type="dxa" w:w="2880"/>
          </w:tcPr>
          <w:p>
            <w:r>
              <w:t>3:1</w:t>
            </w:r>
          </w:p>
        </w:tc>
      </w:tr>
      <w:tr>
        <w:tc>
          <w:tcPr>
            <w:tcW w:type="dxa" w:w="2880"/>
          </w:tcPr>
          <w:p>
            <w:r>
              <w:t>Focus #0b3a75 trên trắng</w:t>
            </w:r>
          </w:p>
        </w:tc>
        <w:tc>
          <w:tcPr>
            <w:tcW w:type="dxa" w:w="2880"/>
          </w:tcPr>
          <w:p>
            <w:r>
              <w:t>11.19:1</w:t>
            </w:r>
          </w:p>
        </w:tc>
        <w:tc>
          <w:tcPr>
            <w:tcW w:type="dxa" w:w="2880"/>
          </w:tcPr>
          <w:p>
            <w:r>
              <w:t>3:1</w:t>
            </w:r>
          </w:p>
        </w:tc>
      </w:tr>
      <w:tr>
        <w:tc>
          <w:tcPr>
            <w:tcW w:type="dxa" w:w="2880"/>
          </w:tcPr>
          <w:p>
            <w:r>
              <w:t>Chữ disabled #3d4a5c trên #e8edf3</w:t>
            </w:r>
          </w:p>
        </w:tc>
        <w:tc>
          <w:tcPr>
            <w:tcW w:type="dxa" w:w="2880"/>
          </w:tcPr>
          <w:p>
            <w:r>
              <w:t>7.65:1</w:t>
            </w:r>
          </w:p>
        </w:tc>
        <w:tc>
          <w:tcPr>
            <w:tcW w:type="dxa" w:w="2880"/>
          </w:tcPr>
          <w:p>
            <w:r>
              <w:t>4.5:1</w:t>
            </w:r>
          </w:p>
        </w:tc>
      </w:tr>
    </w:tbl>
    <w:p>
      <w:pPr>
        <w:pStyle w:val="Heading1"/>
      </w:pPr>
      <w:r>
        <w:t>4. Ma trận 36 AC</w:t>
      </w:r>
    </w:p>
    <w:p>
      <w:r>
        <w:t>PASS = đã có assert trong phiên này. CHƯA CHẠY = mã đã nối vào luồng hiện có nhưng chưa có ca end-to-end hoặc ảnh trình duyệt.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Căn cứ</w:t>
            </w:r>
          </w:p>
        </w:tc>
      </w:tr>
      <w:tr>
        <w:tc>
          <w:tcPr>
            <w:tcW w:type="dxa" w:w="2880"/>
          </w:tcPr>
          <w:p>
            <w:r>
              <w:t>AC-01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Form test: routeId header null; nhãn tuyến nằm ở quy tắc.</w:t>
            </w:r>
          </w:p>
        </w:tc>
      </w:tr>
      <w:tr>
        <w:tc>
          <w:tcPr>
            <w:tcW w:type="dxa" w:w="2880"/>
          </w:tcPr>
          <w:p>
            <w:r>
              <w:t>AC-02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Form chỉ còn một nhãn Tiền tệ. Server từ chối tiền tệ dòng khác header.</w:t>
            </w:r>
          </w:p>
        </w:tc>
      </w:tr>
      <w:tr>
        <w:tc>
          <w:tcPr>
            <w:tcW w:type="dxa" w:w="2880"/>
          </w:tcPr>
          <w:p>
            <w:r>
              <w:t>AC-03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Form test: hộp xác nhận khi đổi hình thức đã có dữ liệu; Hủy giữ dữ liệu.</w:t>
            </w:r>
          </w:p>
        </w:tc>
      </w:tr>
      <w:tr>
        <w:tc>
          <w:tcPr>
            <w:tcW w:type="dxa" w:w="2880"/>
          </w:tcPr>
          <w:p>
            <w:r>
              <w:t>AC-04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UI cho nhiều quy tắc/nhiều tuyến. Chưa có ca API lưu 3 tuyến rồi đọc lại.</w:t>
            </w:r>
          </w:p>
        </w:tc>
      </w:tr>
      <w:tr>
        <w:tc>
          <w:tcPr>
            <w:tcW w:type="dxa" w:w="2880"/>
          </w:tcPr>
          <w:p>
            <w:r>
              <w:t>AC-05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Server chỉ nhận route_id trong danh mục. Chưa có ca API.</w:t>
            </w:r>
          </w:p>
        </w:tc>
      </w:tr>
      <w:tr>
        <w:tc>
          <w:tcPr>
            <w:tcW w:type="dxa" w:w="2880"/>
          </w:tcPr>
          <w:p>
            <w:r>
              <w:t>AC-06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RateWeightBandTests: SGN-HAN không khớp HAN-SGN; Tất cả tuyến thì khớp.</w:t>
            </w:r>
          </w:p>
        </w:tc>
      </w:tr>
      <w:tr>
        <w:tc>
          <w:tcPr>
            <w:tcW w:type="dxa" w:w="2880"/>
          </w:tcPr>
          <w:p>
            <w:r>
              <w:t>AC-07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carrier_party_id trên quy tắc. Chưa có ca lưu hai hãng.</w:t>
            </w:r>
          </w:p>
        </w:tc>
      </w:tr>
      <w:tr>
        <w:tc>
          <w:tcPr>
            <w:tcW w:type="dxa" w:w="2880"/>
          </w:tcPr>
          <w:p>
            <w:r>
              <w:t>AC-08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Hãng dùng vai trò carrier, tách khỏi nhà cung cấp. Chưa có ca dữ liệu.</w:t>
            </w:r>
          </w:p>
        </w:tc>
      </w:tr>
      <w:tr>
        <w:tc>
          <w:tcPr>
            <w:tcW w:type="dxa" w:w="2880"/>
          </w:tcPr>
          <w:p>
            <w:r>
              <w:t>AC-09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Payload groups. Chưa có ca hai nhóm ma trận.</w:t>
            </w:r>
          </w:p>
        </w:tc>
      </w:tr>
      <w:tr>
        <w:tc>
          <w:tcPr>
            <w:tcW w:type="dxa" w:w="2880"/>
          </w:tcPr>
          <w:p>
            <w:r>
              <w:t>AC-10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Mỗi nhóm có carrier riêng. Chưa có ca lọc.</w:t>
            </w:r>
          </w:p>
        </w:tc>
      </w:tr>
      <w:tr>
        <w:tc>
          <w:tcPr>
            <w:tcW w:type="dxa" w:w="2880"/>
          </w:tcPr>
          <w:p>
            <w:r>
              <w:t>AC-11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WeightBand lưu và kiểm [min, max); max trống là không giới hạn trên.</w:t>
            </w:r>
          </w:p>
        </w:tc>
      </w:tr>
      <w:tr>
        <w:tc>
          <w:tcPr>
            <w:tcW w:type="dxa" w:w="2880"/>
          </w:tcPr>
          <w:p>
            <w:r>
              <w:t>AC-12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4.999 kg khớp [0, 5).</w:t>
            </w:r>
          </w:p>
        </w:tc>
      </w:tr>
      <w:tr>
        <w:tc>
          <w:tcPr>
            <w:tcW w:type="dxa" w:w="2880"/>
          </w:tcPr>
          <w:p>
            <w:r>
              <w:t>AC-13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5 kg khớp [5, 11), không khớp [0, 5).</w:t>
            </w:r>
          </w:p>
        </w:tc>
      </w:tr>
      <w:tr>
        <w:tc>
          <w:tcPr>
            <w:tcW w:type="dxa" w:w="2880"/>
          </w:tcPr>
          <w:p>
            <w:r>
              <w:t>AC-14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10.999 kg khớp [5, 11). Nhãn giữ 10.999, không làm tròn thành 11.</w:t>
            </w:r>
          </w:p>
        </w:tc>
      </w:tr>
      <w:tr>
        <w:tc>
          <w:tcPr>
            <w:tcW w:type="dxa" w:w="2880"/>
          </w:tcPr>
          <w:p>
            <w:r>
              <w:t>AC-15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11 kg khớp [11, 21).</w:t>
            </w:r>
          </w:p>
        </w:tc>
      </w:tr>
      <w:tr>
        <w:tc>
          <w:tcPr>
            <w:tcW w:type="dxa" w:w="2880"/>
          </w:tcPr>
          <w:p>
            <w:r>
              <w:t>AC-16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20.999 kg khớp [11, 21).</w:t>
            </w:r>
          </w:p>
        </w:tc>
      </w:tr>
      <w:tr>
        <w:tc>
          <w:tcPr>
            <w:tcW w:type="dxa" w:w="2880"/>
          </w:tcPr>
          <w:p>
            <w:r>
              <w:t>AC-17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21 kg khớp [21, ∞).</w:t>
            </w:r>
          </w:p>
        </w:tc>
      </w:tr>
      <w:tr>
        <w:tc>
          <w:tcPr>
            <w:tcW w:type="dxa" w:w="2880"/>
          </w:tcPr>
          <w:p>
            <w:r>
              <w:t>AC-18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min âm hoặc max &lt;= min bị từ chối.</w:t>
            </w:r>
          </w:p>
        </w:tc>
      </w:tr>
      <w:tr>
        <w:tc>
          <w:tcPr>
            <w:tcW w:type="dxa" w:w="2880"/>
          </w:tcPr>
          <w:p>
            <w:r>
              <w:t>AC-19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Hai quy tắc cùng FREIGHT và nấc chồng nhau trả RATE_CONFLICT.</w:t>
            </w:r>
          </w:p>
        </w:tc>
      </w:tr>
      <w:tr>
        <w:tc>
          <w:tcPr>
            <w:tcW w:type="dxa" w:w="2880"/>
          </w:tcPr>
          <w:p>
            <w:r>
              <w:t>AC-20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Trọng lượng không thuộc nấc nào thì không có quy tắc. Không chọn nấc gần nhất.</w:t>
            </w:r>
          </w:p>
        </w:tc>
      </w:tr>
      <w:tr>
        <w:tc>
          <w:tcPr>
            <w:tcW w:type="dxa" w:w="2880"/>
          </w:tcPr>
          <w:p>
            <w:r>
              <w:t>AC-21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Nấc cố định giữ số tiền; nấc đơn giá nhân với trọng lượng.</w:t>
            </w:r>
          </w:p>
        </w:tc>
      </w:tr>
      <w:tr>
        <w:tc>
          <w:tcPr>
            <w:tcW w:type="dxa" w:w="2880"/>
          </w:tcPr>
          <w:p>
            <w:r>
              <w:t>AC-22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Đơn giá 5.5×10 = 55. Bậc bước 1 kg làm tròn lên 6×10 = 60.</w:t>
            </w:r>
          </w:p>
        </w:tc>
      </w:tr>
      <w:tr>
        <w:tc>
          <w:tcPr>
            <w:tcW w:type="dxa" w:w="2880"/>
          </w:tcPr>
          <w:p>
            <w:r>
              <w:t>AC-23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gross và chargeable không dùng thay nhau.</w:t>
            </w:r>
          </w:p>
        </w:tc>
      </w:tr>
      <w:tr>
        <w:tc>
          <w:tcPr>
            <w:tcW w:type="dxa" w:w="2880"/>
          </w:tcPr>
          <w:p>
            <w:r>
              <w:t>AC-24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Rating theo chặng vẫn lấy route/mode của chặng rồi lọc thêm nấc và hãng. Chưa chạy lại ca nhiều chặng.</w:t>
            </w:r>
          </w:p>
        </w:tc>
      </w:tr>
      <w:tr>
        <w:tc>
          <w:tcPr>
            <w:tcW w:type="dxa" w:w="2880"/>
          </w:tcPr>
          <w:p>
            <w:r>
              <w:t>AC-25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Rating theo Bill vẫn dùng ngữ cảnh Bill. Chưa chạy lại ca.</w:t>
            </w:r>
          </w:p>
        </w:tc>
      </w:tr>
      <w:tr>
        <w:tc>
          <w:tcPr>
            <w:tcW w:type="dxa" w:w="2880"/>
          </w:tcPr>
          <w:p>
            <w:r>
              <w:t>AC-26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Hai quy tắc cùng khoản mục và cùng nấc: AMBIGUOUS_RATE_RULE.</w:t>
            </w:r>
          </w:p>
        </w:tc>
      </w:tr>
      <w:tr>
        <w:tc>
          <w:tcPr>
            <w:tcW w:type="dxa" w:w="2880"/>
          </w:tcPr>
          <w:p>
            <w:r>
              <w:t>AC-27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FREIGHT và DOC cùng nấc không bị RATE_CONFLICT.</w:t>
            </w:r>
          </w:p>
        </w:tc>
      </w:tr>
      <w:tr>
        <w:tc>
          <w:tcPr>
            <w:tcW w:type="dxa" w:w="2880"/>
          </w:tcPr>
          <w:p>
            <w:r>
              <w:t>AC-28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ContextJson của rating ghi route, carrier, weight basis và nấc. Chưa assert trên API.</w:t>
            </w:r>
          </w:p>
        </w:tc>
      </w:tr>
      <w:tr>
        <w:tc>
          <w:tcPr>
            <w:tcW w:type="dxa" w:w="2880"/>
          </w:tcPr>
          <w:p>
            <w:r>
              <w:t>AC-29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Phiên bản đã phát hành vẫn bị chặn sửa. Chưa chạy lại ca trong phiên này.</w:t>
            </w:r>
          </w:p>
        </w:tc>
      </w:tr>
      <w:tr>
        <w:tc>
          <w:tcPr>
            <w:tcW w:type="dxa" w:w="2880"/>
          </w:tcPr>
          <w:p>
            <w:r>
              <w:t>AC-30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Script migration và log đã viết. Chưa chạy trên PostgreSQL.</w:t>
            </w:r>
          </w:p>
        </w:tc>
      </w:tr>
      <w:tr>
        <w:tc>
          <w:tcPr>
            <w:tcW w:type="dxa" w:w="2880"/>
          </w:tcPr>
          <w:p>
            <w:r>
              <w:t>AC-31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Rerating vẫn không ghi đè Actual/AP đã khóa. Chưa chạy lại ca.</w:t>
            </w:r>
          </w:p>
        </w:tc>
      </w:tr>
      <w:tr>
        <w:tc>
          <w:tcPr>
            <w:tcW w:type="dxa" w:w="2880"/>
          </w:tcPr>
          <w:p>
            <w:r>
              <w:t>AC-32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Chữ và placeholder tính được ≥ 8.08:1.</w:t>
            </w:r>
          </w:p>
        </w:tc>
      </w:tr>
      <w:tr>
        <w:tc>
          <w:tcPr>
            <w:tcW w:type="dxa" w:w="2880"/>
          </w:tcPr>
          <w:p>
            <w:r>
              <w:t>AC-33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Viền, focus và disabled tính được ≥ 5.74:1.</w:t>
            </w:r>
          </w:p>
        </w:tc>
      </w:tr>
      <w:tr>
        <w:tc>
          <w:tcPr>
            <w:tcW w:type="dxa" w:w="2880"/>
          </w:tcPr>
          <w:p>
            <w:r>
              <w:t>AC-34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Đã tách nền/viền ba khối trên form. Chưa có ảnh before/after trên trình duyệt.</w:t>
            </w:r>
          </w:p>
        </w:tc>
      </w:tr>
      <w:tr>
        <w:tc>
          <w:tcPr>
            <w:tcW w:type="dxa" w:w="2880"/>
          </w:tcPr>
          <w:p>
            <w:r>
              <w:t>AC-35</w:t>
            </w:r>
          </w:p>
        </w:tc>
        <w:tc>
          <w:tcPr>
            <w:tcW w:type="dxa" w:w="2880"/>
          </w:tcPr>
          <w:p>
            <w:r>
              <w:t>CHƯA CHẠY</w:t>
            </w:r>
          </w:p>
        </w:tc>
        <w:tc>
          <w:tcPr>
            <w:tcW w:type="dxa" w:w="2880"/>
          </w:tcPr>
          <w:p>
            <w:r>
              <w:t>Bảng quy tắc cuộn ngang dưới 1600px. Chưa đo 1366 và 1920 ở zoom 125%.</w:t>
            </w:r>
          </w:p>
        </w:tc>
      </w:tr>
      <w:tr>
        <w:tc>
          <w:tcPr>
            <w:tcW w:type="dxa" w:w="2880"/>
          </w:tcPr>
          <w:p>
            <w:r>
              <w:t>AC-36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Không sửa sidebar và không thay icon SVG bằng emoji.</w:t>
            </w:r>
          </w:p>
        </w:tc>
      </w:tr>
    </w:tbl>
    <w:p>
      <w:pPr>
        <w:pStyle w:val="Heading1"/>
      </w:pPr>
      <w:r>
        <w:t>5. Việc còn lại trước khi PO đánh dấu nghiệm thu</w:t>
      </w:r>
    </w:p>
    <w:p>
      <w:pPr>
        <w:pStyle w:val="ListBullet"/>
      </w:pPr>
      <w:r>
        <w:t>Chạy migration trên PostgreSQL của môi trường test và đối chiếu rate_scope_migration_logs với bảng giá cũ.</w:t>
      </w:r>
    </w:p>
    <w:p>
      <w:pPr>
        <w:pStyle w:val="ListBullet"/>
      </w:pPr>
      <w:r>
        <w:t>Ca API: một bảng giá ba tuyến, hai nhóm ma trận, hai hãng, rồi rating từng chặng.</w:t>
      </w:r>
    </w:p>
    <w:p>
      <w:pPr>
        <w:pStyle w:val="ListBullet"/>
      </w:pPr>
      <w:r>
        <w:t>Ảnh form trước/sau trên 1366×768 và 1920×1080, zoom 100% và 125%, sau khi đăng nhập.</w:t>
      </w:r>
    </w:p>
    <w:p>
      <w:r>
        <w:t>Ảnh before/after không được chụp trong phiên này vì không có phiên trình duyệt đã đăng nhập.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