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LCMS — DEV FIX</w:t>
        <w:br/>
        <w:t>FINANCIAL DOCUMENT SOURCE &amp; MATCHING</w:t>
      </w:r>
    </w:p>
    <w:p>
      <w:pPr>
        <w:jc w:val="center"/>
      </w:pPr>
      <w:r>
        <w:rPr>
          <w:b/>
        </w:rPr>
        <w:t>Version 1.0 — Functional / UI / Acceptance Change Package — 02/10/2026</w:t>
      </w:r>
    </w:p>
    <w:p>
      <w:r>
        <w:t>[PO CONFIRMED / ARCHITECTURE AGREED] — Financial Document Source &amp; Matching UX</w:t>
      </w:r>
    </w:p>
    <w:p>
      <w:r>
        <w:t>Baseline áp dụng: LCMS sau batch Reporting Currency &amp; FX. Financial Document phải tiếp tục giữ Original Currency, Reporting Currency/Amount và FX trace theo kiến trúc FX đã triển khai; fix này không được rollback hoặc bypass các rule FX.</w:t>
      </w:r>
    </w:p>
    <w:p>
      <w:pPr>
        <w:pStyle w:val="Heading1"/>
      </w:pPr>
      <w:r>
        <w:t>1. Vấn đề hiện tại</w:t>
      </w:r>
    </w:p>
    <w:p>
      <w:r>
        <w:t>Màn hình “Nhận chứng từ tài chính” hiện cho phép chọn Bill/đối tác nhưng trường Tổng tiền vẫn là một ô nhập độc lập. Điều này khiến người dùng phải nhập lại số tiền đã tồn tại ở Cost/Revenue, khó hiểu nguồn số liệu, tăng rủi ro nhập sai, duplicate economic fact và làm mờ vai trò của Matching.</w:t>
      </w:r>
    </w:p>
    <w:p>
      <w:r>
        <w:t>Không được sửa đơn giản theo hướng “chọn Bill → tự lấy toàn bộ doanh thu/chi phí vào Tổng tiền”, vì một chứng từ có thể chỉ bao phủ một phần line, nhiều line, nhiều Bill; và chứng từ bên ngoài có thể có amount khác Cost/Revenue để LCMS đối soát chênh lệch.</w:t>
      </w:r>
    </w:p>
    <w:p>
      <w:pPr>
        <w:pStyle w:val="Heading1"/>
      </w:pPr>
      <w:r>
        <w:t>2. Mục tiêu nghiệp vụ</w:t>
      </w:r>
    </w:p>
    <w:p>
      <w:r>
        <w:t>Phân biệt rõ Economic Layer (Cost/Revenue) với Document Layer (Invoice/Debit Note/Credit Note...).</w:t>
      </w:r>
    </w:p>
    <w:p>
      <w:r>
        <w:t>Bill/Shipment chỉ là phạm vi tìm kiếm/tham chiếu; Cost/Revenue line mới là nguồn nghiệp vụ để link/match chứng từ.</w:t>
      </w:r>
    </w:p>
    <w:p>
      <w:r>
        <w:t>Không bắt người dùng nhập lặp lại amount khi chứng từ được tạo từ dữ liệu LCMS.</w:t>
      </w:r>
    </w:p>
    <w:p>
      <w:r>
        <w:t>Cho phép ghi nhận amount đúng theo chứng từ bên ngoài, sau đó matching và variance với Cost/Revenue.</w:t>
      </w:r>
    </w:p>
    <w:p>
      <w:r>
        <w:t>Không để Financial Document tự tạo thêm Economic Cost/Revenue trừ khi một workflow riêng được PO phê duyệt.</w:t>
      </w:r>
    </w:p>
    <w:p>
      <w:r>
        <w:t>Giữ nguyên toàn bộ Reporting Currency &amp; FX trace của baseline mới.</w:t>
      </w:r>
    </w:p>
    <w:p>
      <w:pPr>
        <w:pStyle w:val="Heading1"/>
      </w:pPr>
      <w:r>
        <w:t>3. Hai chế độ bắt buộc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</w:tcPr>
          <w:p>
            <w:r>
              <w:t>Mode</w:t>
            </w:r>
          </w:p>
        </w:tc>
        <w:tc>
          <w:tcPr>
            <w:tcW w:type="dxa" w:w="2592"/>
          </w:tcPr>
          <w:p>
            <w:r>
              <w:t>Mục đích</w:t>
            </w:r>
          </w:p>
        </w:tc>
        <w:tc>
          <w:tcPr>
            <w:tcW w:type="dxa" w:w="2592"/>
          </w:tcPr>
          <w:p>
            <w:r>
              <w:t>Tổng tiền</w:t>
            </w:r>
          </w:p>
        </w:tc>
        <w:tc>
          <w:tcPr>
            <w:tcW w:type="dxa" w:w="2592"/>
          </w:tcPr>
          <w:p>
            <w:r>
              <w:t>Matching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A. Nhận chứng từ bên ngoài</w:t>
            </w:r>
          </w:p>
        </w:tc>
        <w:tc>
          <w:tcPr>
            <w:tcW w:type="dxa" w:w="2592"/>
          </w:tcPr>
          <w:p>
            <w:r>
              <w:t>Nhận Invoice/Debit/Credit từ Vendor/Customer/hệ thống ngoài.</w:t>
            </w:r>
          </w:p>
        </w:tc>
        <w:tc>
          <w:tcPr>
            <w:tcW w:type="dxa" w:w="2592"/>
          </w:tcPr>
          <w:p>
            <w:r>
              <w:t>Document Amount là fact của chứng từ; cho phép nhập/Import/API.</w:t>
            </w:r>
          </w:p>
        </w:tc>
        <w:tc>
          <w:tcPr>
            <w:tcW w:type="dxa" w:w="2592"/>
          </w:tcPr>
          <w:p>
            <w:r>
              <w:t>Match với Cost/Revenue; tính matched/unmatched/variance.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B. Tạo chứng từ từ LCMS</w:t>
            </w:r>
          </w:p>
        </w:tc>
        <w:tc>
          <w:tcPr>
            <w:tcW w:type="dxa" w:w="2592"/>
          </w:tcPr>
          <w:p>
            <w:r>
              <w:t>Lập chứng từ dựa trên Cost/Revenue đã có trong LCMS.</w:t>
            </w:r>
          </w:p>
        </w:tc>
        <w:tc>
          <w:tcPr>
            <w:tcW w:type="dxa" w:w="2592"/>
          </w:tcPr>
          <w:p>
            <w:r>
              <w:t>Tự tính từ các source line được chọn; mặc định readonly.</w:t>
            </w:r>
          </w:p>
        </w:tc>
        <w:tc>
          <w:tcPr>
            <w:tcW w:type="dxa" w:w="2592"/>
          </w:tcPr>
          <w:p>
            <w:r>
              <w:t>Link trực tiếp từng source line và số tiền được document hóa.</w:t>
            </w:r>
          </w:p>
        </w:tc>
      </w:tr>
    </w:tbl>
    <w:p>
      <w:pPr>
        <w:pStyle w:val="Heading1"/>
      </w:pPr>
      <w:r>
        <w:t>4. Luồng UI đề xuất</w:t>
      </w:r>
    </w:p>
    <w:p>
      <w:r>
        <w:t>Bước 1 — Chọn chiều: Phải trả (AP-side) hoặc Phải thu (AR-side).</w:t>
      </w:r>
    </w:p>
    <w:p>
      <w:r>
        <w:t>Bước 2 — Chọn chế độ: “Nhận chứng từ bên ngoài” hoặc “Tạo chứng từ từ dữ liệu LCMS”.</w:t>
      </w:r>
    </w:p>
    <w:p>
      <w:r>
        <w:t>Bước 3 — Chọn đối tác. AP-side ưu tiên Supplier; AR-side ưu tiên Customer.</w:t>
      </w:r>
    </w:p>
    <w:p>
      <w:r>
        <w:t>Bước 4 — Chọn Bill/Shipment (tùy chọn để lọc). Không coi Bill là nguồn amount duy nhất.</w:t>
      </w:r>
    </w:p>
    <w:p>
      <w:r>
        <w:t>Bước 5 — Hiển thị bảng “Khoản tài chính liên quan”: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</w:trPr>
        <w:tc>
          <w:tcPr>
            <w:tcW w:type="dxa" w:w="1296"/>
          </w:tcPr>
          <w:p>
            <w:r>
              <w:t>Chọn</w:t>
            </w:r>
          </w:p>
        </w:tc>
        <w:tc>
          <w:tcPr>
            <w:tcW w:type="dxa" w:w="1296"/>
          </w:tcPr>
          <w:p>
            <w:r>
              <w:t>Loại</w:t>
            </w:r>
          </w:p>
        </w:tc>
        <w:tc>
          <w:tcPr>
            <w:tcW w:type="dxa" w:w="1296"/>
          </w:tcPr>
          <w:p>
            <w:r>
              <w:t>Mã line</w:t>
            </w:r>
          </w:p>
        </w:tc>
        <w:tc>
          <w:tcPr>
            <w:tcW w:type="dxa" w:w="1296"/>
          </w:tcPr>
          <w:p>
            <w:r>
              <w:t>Hạng mục</w:t>
            </w:r>
          </w:p>
        </w:tc>
        <w:tc>
          <w:tcPr>
            <w:tcW w:type="dxa" w:w="1296"/>
          </w:tcPr>
          <w:p>
            <w:r>
              <w:t>Nguyên tệ</w:t>
            </w:r>
          </w:p>
        </w:tc>
        <w:tc>
          <w:tcPr>
            <w:tcW w:type="dxa" w:w="1296"/>
          </w:tcPr>
          <w:p>
            <w:r>
              <w:t>Giá trị</w:t>
            </w:r>
          </w:p>
        </w:tc>
        <w:tc>
          <w:tcPr>
            <w:tcW w:type="dxa" w:w="1296"/>
          </w:tcPr>
          <w:p>
            <w:r>
              <w:t>Đã gắn CT</w:t>
            </w:r>
          </w:p>
        </w:tc>
        <w:tc>
          <w:tcPr>
            <w:tcW w:type="dxa" w:w="1296"/>
          </w:tcPr>
          <w:p>
            <w:r>
              <w:t>Còn có thể gắn</w:t>
            </w:r>
          </w:p>
        </w:tc>
      </w:tr>
      <w:tr>
        <w:trPr>
          <w:cantSplit/>
        </w:trPr>
        <w:tc>
          <w:tcPr>
            <w:tcW w:type="dxa" w:w="1296"/>
          </w:tcPr>
          <w:p>
            <w:r>
              <w:t>☑</w:t>
            </w:r>
          </w:p>
        </w:tc>
        <w:tc>
          <w:tcPr>
            <w:tcW w:type="dxa" w:w="1296"/>
          </w:tcPr>
          <w:p>
            <w:r>
              <w:t>Revenue</w:t>
            </w:r>
          </w:p>
        </w:tc>
        <w:tc>
          <w:tcPr>
            <w:tcW w:type="dxa" w:w="1296"/>
          </w:tcPr>
          <w:p>
            <w:r>
              <w:t>REV-001</w:t>
            </w:r>
          </w:p>
        </w:tc>
        <w:tc>
          <w:tcPr>
            <w:tcW w:type="dxa" w:w="1296"/>
          </w:tcPr>
          <w:p>
            <w:r>
              <w:t>Freight</w:t>
            </w:r>
          </w:p>
        </w:tc>
        <w:tc>
          <w:tcPr>
            <w:tcW w:type="dxa" w:w="1296"/>
          </w:tcPr>
          <w:p>
            <w:r>
              <w:t>USD</w:t>
            </w:r>
          </w:p>
        </w:tc>
        <w:tc>
          <w:tcPr>
            <w:tcW w:type="dxa" w:w="1296"/>
          </w:tcPr>
          <w:p>
            <w:r>
              <w:t>400</w:t>
            </w:r>
          </w:p>
        </w:tc>
        <w:tc>
          <w:tcPr>
            <w:tcW w:type="dxa" w:w="1296"/>
          </w:tcPr>
          <w:p>
            <w:r>
              <w:t>0</w:t>
            </w:r>
          </w:p>
        </w:tc>
        <w:tc>
          <w:tcPr>
            <w:tcW w:type="dxa" w:w="1296"/>
          </w:tcPr>
          <w:p>
            <w:r>
              <w:t>400</w:t>
            </w:r>
          </w:p>
        </w:tc>
      </w:tr>
      <w:tr>
        <w:trPr>
          <w:cantSplit/>
        </w:trPr>
        <w:tc>
          <w:tcPr>
            <w:tcW w:type="dxa" w:w="1296"/>
          </w:tcPr>
          <w:p>
            <w:r>
              <w:t>☑</w:t>
            </w:r>
          </w:p>
        </w:tc>
        <w:tc>
          <w:tcPr>
            <w:tcW w:type="dxa" w:w="1296"/>
          </w:tcPr>
          <w:p>
            <w:r>
              <w:t>Revenue</w:t>
            </w:r>
          </w:p>
        </w:tc>
        <w:tc>
          <w:tcPr>
            <w:tcW w:type="dxa" w:w="1296"/>
          </w:tcPr>
          <w:p>
            <w:r>
              <w:t>REV-002</w:t>
            </w:r>
          </w:p>
        </w:tc>
        <w:tc>
          <w:tcPr>
            <w:tcW w:type="dxa" w:w="1296"/>
          </w:tcPr>
          <w:p>
            <w:r>
              <w:t>Handling</w:t>
            </w:r>
          </w:p>
        </w:tc>
        <w:tc>
          <w:tcPr>
            <w:tcW w:type="dxa" w:w="1296"/>
          </w:tcPr>
          <w:p>
            <w:r>
              <w:t>USD</w:t>
            </w:r>
          </w:p>
        </w:tc>
        <w:tc>
          <w:tcPr>
            <w:tcW w:type="dxa" w:w="1296"/>
          </w:tcPr>
          <w:p>
            <w:r>
              <w:t>50</w:t>
            </w:r>
          </w:p>
        </w:tc>
        <w:tc>
          <w:tcPr>
            <w:tcW w:type="dxa" w:w="1296"/>
          </w:tcPr>
          <w:p>
            <w:r>
              <w:t>0</w:t>
            </w:r>
          </w:p>
        </w:tc>
        <w:tc>
          <w:tcPr>
            <w:tcW w:type="dxa" w:w="1296"/>
          </w:tcPr>
          <w:p>
            <w:r>
              <w:t>50</w:t>
            </w:r>
          </w:p>
        </w:tc>
      </w:tr>
      <w:tr>
        <w:trPr>
          <w:cantSplit/>
        </w:trPr>
        <w:tc>
          <w:tcPr>
            <w:tcW w:type="dxa" w:w="1296"/>
          </w:tcPr>
          <w:p>
            <w:r>
              <w:t>☐</w:t>
            </w:r>
          </w:p>
        </w:tc>
        <w:tc>
          <w:tcPr>
            <w:tcW w:type="dxa" w:w="1296"/>
          </w:tcPr>
          <w:p>
            <w:r>
              <w:t>Revenue</w:t>
            </w:r>
          </w:p>
        </w:tc>
        <w:tc>
          <w:tcPr>
            <w:tcW w:type="dxa" w:w="1296"/>
          </w:tcPr>
          <w:p>
            <w:r>
              <w:t>REV-003</w:t>
            </w:r>
          </w:p>
        </w:tc>
        <w:tc>
          <w:tcPr>
            <w:tcW w:type="dxa" w:w="1296"/>
          </w:tcPr>
          <w:p>
            <w:r>
              <w:t>Documentation</w:t>
            </w:r>
          </w:p>
        </w:tc>
        <w:tc>
          <w:tcPr>
            <w:tcW w:type="dxa" w:w="1296"/>
          </w:tcPr>
          <w:p>
            <w:r>
              <w:t>USD</w:t>
            </w:r>
          </w:p>
        </w:tc>
        <w:tc>
          <w:tcPr>
            <w:tcW w:type="dxa" w:w="1296"/>
          </w:tcPr>
          <w:p>
            <w:r>
              <w:t>20</w:t>
            </w:r>
          </w:p>
        </w:tc>
        <w:tc>
          <w:tcPr>
            <w:tcW w:type="dxa" w:w="1296"/>
          </w:tcPr>
          <w:p>
            <w:r>
              <w:t>0</w:t>
            </w:r>
          </w:p>
        </w:tc>
        <w:tc>
          <w:tcPr>
            <w:tcW w:type="dxa" w:w="1296"/>
          </w:tcPr>
          <w:p>
            <w:r>
              <w:t>20</w:t>
            </w:r>
          </w:p>
        </w:tc>
      </w:tr>
    </w:tbl>
    <w:p>
      <w:r>
        <w:t>Bước 6 — Mode B: Tổng tiền = tổng selected source amount (theo Document Currency/FX policy). Mode A: nhập Tổng tiền từ chứng từ và thực hiện Matching.</w:t>
      </w:r>
    </w:p>
    <w:p>
      <w:r>
        <w:t>Bước 7 — Lưu Draft → Match/Review → Nhận/Chấp nhận theo workflow hiện hành → Recognition AP/AR riêng; nhận chứng từ không đồng nghĩa đã thanh toán.</w:t>
      </w:r>
    </w:p>
    <w:p>
      <w:pPr>
        <w:pStyle w:val="Heading1"/>
      </w:pPr>
      <w:r>
        <w:t>5. Quy tắc nguồn số tiền và chống double 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</w:tcPr>
          <w:p>
            <w:r>
              <w:t>Rule</w:t>
            </w:r>
          </w:p>
        </w:tc>
        <w:tc>
          <w:tcPr>
            <w:tcW w:type="dxa" w:w="5184"/>
          </w:tcPr>
          <w:p>
            <w:r>
              <w:t>Yêu cầu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FD-R01</w:t>
            </w:r>
          </w:p>
        </w:tc>
        <w:tc>
          <w:tcPr>
            <w:tcW w:type="dxa" w:w="5184"/>
          </w:tcPr>
          <w:p>
            <w:r>
              <w:t>Financial Document không phải Economic Cost/Revenue; tạo chứng từ không được cộng thêm Cost/Revenue.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FD-R02</w:t>
            </w:r>
          </w:p>
        </w:tc>
        <w:tc>
          <w:tcPr>
            <w:tcW w:type="dxa" w:w="5184"/>
          </w:tcPr>
          <w:p>
            <w:r>
              <w:t>Mode B: Document Amount được derive từ selected Cost/Revenue lines; không nhập lại tùy ý.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FD-R03</w:t>
            </w:r>
          </w:p>
        </w:tc>
        <w:tc>
          <w:tcPr>
            <w:tcW w:type="dxa" w:w="5184"/>
          </w:tcPr>
          <w:p>
            <w:r>
              <w:t>Mode A: Document Amount được nhập theo chứng từ thật; không ép bằng Cost/Revenue.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FD-R04</w:t>
            </w:r>
          </w:p>
        </w:tc>
        <w:tc>
          <w:tcPr>
            <w:tcW w:type="dxa" w:w="5184"/>
          </w:tcPr>
          <w:p>
            <w:r>
              <w:t>Một source line có thể được document hóa một phần hoặc nhiều lần, nhưng tổng linked amount không được vượt eligible amount nếu không có override/exception policy.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FD-R05</w:t>
            </w:r>
          </w:p>
        </w:tc>
        <w:tc>
          <w:tcPr>
            <w:tcW w:type="dxa" w:w="5184"/>
          </w:tcPr>
          <w:p>
            <w:r>
              <w:t>Một chứng từ có thể link nhiều Cost/Revenue line và có thể mở rộng nhiều Bill; quan hệ phải là many-to-many qua document matching detail.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FD-R06</w:t>
            </w:r>
          </w:p>
        </w:tc>
        <w:tc>
          <w:tcPr>
            <w:tcW w:type="dxa" w:w="5184"/>
          </w:tcPr>
          <w:p>
            <w:r>
              <w:t>Không tự lấy toàn bộ Bill Revenue/Cost chỉ vì người dùng chọn Bill.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FD-R07</w:t>
            </w:r>
          </w:p>
        </w:tc>
        <w:tc>
          <w:tcPr>
            <w:tcW w:type="dxa" w:w="5184"/>
          </w:tcPr>
          <w:p>
            <w:r>
              <w:t>AP-side chỉ đề xuất Cost lines phù hợp đối tác/currency/context; AR-side chỉ đề xuất Revenue lines phù hợp.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FD-R08</w:t>
            </w:r>
          </w:p>
        </w:tc>
        <w:tc>
          <w:tcPr>
            <w:tcW w:type="dxa" w:w="5184"/>
          </w:tcPr>
          <w:p>
            <w:r>
              <w:t>Expected line không tự động trở thành recognized AP/AR. Eligibility phải theo maturity/recognition policy.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FD-R09</w:t>
            </w:r>
          </w:p>
        </w:tc>
        <w:tc>
          <w:tcPr>
            <w:tcW w:type="dxa" w:w="5184"/>
          </w:tcPr>
          <w:p>
            <w:r>
              <w:t>Matching phải lưu Source Amount, Matched Amount, Remaining Amount, Document Amount và Variance.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FD-R10</w:t>
            </w:r>
          </w:p>
        </w:tc>
        <w:tc>
          <w:tcPr>
            <w:tcW w:type="dxa" w:w="5184"/>
          </w:tcPr>
          <w:p>
            <w:r>
              <w:t>Hủy/reverse document link không được xóa Economic Cost/Revenue gốc; phải phục hồi remaining eligible amount theo rule.</w:t>
            </w:r>
          </w:p>
        </w:tc>
      </w:tr>
    </w:tbl>
    <w:p>
      <w:pPr>
        <w:pStyle w:val="Heading1"/>
      </w:pPr>
      <w:r>
        <w:t>6. Tương thích Reporting Currency &amp; FX đã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</w:tcPr>
          <w:p>
            <w:r>
              <w:t>Rule</w:t>
            </w:r>
          </w:p>
        </w:tc>
        <w:tc>
          <w:tcPr>
            <w:tcW w:type="dxa" w:w="5184"/>
          </w:tcPr>
          <w:p>
            <w:r>
              <w:t>Yêu cầu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FD-FX-01</w:t>
            </w:r>
          </w:p>
        </w:tc>
        <w:tc>
          <w:tcPr>
            <w:tcW w:type="dxa" w:w="5184"/>
          </w:tcPr>
          <w:p>
            <w:r>
              <w:t>Document giữ Original Amount/Currency và Reporting Amount/Currency; không thay thế nguyên tệ bằng tiền tệ báo cáo.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FD-FX-02</w:t>
            </w:r>
          </w:p>
        </w:tc>
        <w:tc>
          <w:tcPr>
            <w:tcW w:type="dxa" w:w="5184"/>
          </w:tcPr>
          <w:p>
            <w:r>
              <w:t>Nếu Document Currency ≠ Tenant Reporting Currency, áp dụng FX snapshot/source/date theo baseline FX.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FD-FX-03</w:t>
            </w:r>
          </w:p>
        </w:tc>
        <w:tc>
          <w:tcPr>
            <w:tcW w:type="dxa" w:w="5184"/>
          </w:tcPr>
          <w:p>
            <w:r>
              <w:t>Mode B cùng currency: tổng source selected tạo Document Original Amount trực tiếp.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FD-FX-04</w:t>
            </w:r>
          </w:p>
        </w:tc>
        <w:tc>
          <w:tcPr>
            <w:tcW w:type="dxa" w:w="5184"/>
          </w:tcPr>
          <w:p>
            <w:r>
              <w:t>Mode B khác currency giữa các source line: không cộng trực tiếp. DEV phải yêu cầu một Document Currency và convert theo policy trước khi tính tổng.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FD-FX-05</w:t>
            </w:r>
          </w:p>
        </w:tc>
        <w:tc>
          <w:tcPr>
            <w:tcW w:type="dxa" w:w="5184"/>
          </w:tcPr>
          <w:p>
            <w:r>
              <w:t>Mode A: Document Amount/FX là fact của document; Matching hiển thị variance sau quy đổi nhưng không rewrite Cost/Revenue.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FD-FX-06</w:t>
            </w:r>
          </w:p>
        </w:tc>
        <w:tc>
          <w:tcPr>
            <w:tcW w:type="dxa" w:w="5184"/>
          </w:tcPr>
          <w:p>
            <w:r>
              <w:t>Thiếu FX: không coi là 0; block trạng thái fully matched/recognized nếu policy cần Reporting Amount hợp lệ.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FD-FX-07</w:t>
            </w:r>
          </w:p>
        </w:tc>
        <w:tc>
          <w:tcPr>
            <w:tcW w:type="dxa" w:w="5184"/>
          </w:tcPr>
          <w:p>
            <w:r>
              <w:t>Financial Close/history sử dụng snapshot; rate provider thay đổi không rewrite document/matching lịch sử.</w:t>
            </w:r>
          </w:p>
        </w:tc>
      </w:tr>
    </w:tbl>
    <w:p>
      <w:pPr>
        <w:pStyle w:val="Heading1"/>
      </w:pPr>
      <w:r>
        <w:t>7. Data model tối thiểu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</w:tcPr>
          <w:p>
            <w:r>
              <w:t>Entity</w:t>
            </w:r>
          </w:p>
        </w:tc>
        <w:tc>
          <w:tcPr>
            <w:tcW w:type="dxa" w:w="3456"/>
          </w:tcPr>
          <w:p>
            <w:r>
              <w:t>Field</w:t>
            </w:r>
          </w:p>
        </w:tc>
        <w:tc>
          <w:tcPr>
            <w:tcW w:type="dxa" w:w="3456"/>
          </w:tcPr>
          <w:p>
            <w:r>
              <w:t>Ý nghĩa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financial_documents</w:t>
            </w:r>
          </w:p>
        </w:tc>
        <w:tc>
          <w:tcPr>
            <w:tcW w:type="dxa" w:w="3456"/>
          </w:tcPr>
          <w:p>
            <w:r>
              <w:t>mode</w:t>
            </w:r>
          </w:p>
        </w:tc>
        <w:tc>
          <w:tcPr>
            <w:tcW w:type="dxa" w:w="3456"/>
          </w:tcPr>
          <w:p>
            <w:r>
              <w:t>EXTERNAL_RECEIVED / LCMS_GENERATED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financial_documents</w:t>
            </w:r>
          </w:p>
        </w:tc>
        <w:tc>
          <w:tcPr>
            <w:tcW w:type="dxa" w:w="3456"/>
          </w:tcPr>
          <w:p>
            <w:r>
              <w:t>direction</w:t>
            </w:r>
          </w:p>
        </w:tc>
        <w:tc>
          <w:tcPr>
            <w:tcW w:type="dxa" w:w="3456"/>
          </w:tcPr>
          <w:p>
            <w:r>
              <w:t>AP / AR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financial_documents</w:t>
            </w:r>
          </w:p>
        </w:tc>
        <w:tc>
          <w:tcPr>
            <w:tcW w:type="dxa" w:w="3456"/>
          </w:tcPr>
          <w:p>
            <w:r>
              <w:t>document_amount / currency</w:t>
            </w:r>
          </w:p>
        </w:tc>
        <w:tc>
          <w:tcPr>
            <w:tcW w:type="dxa" w:w="3456"/>
          </w:tcPr>
          <w:p>
            <w:r>
              <w:t>Original document amount/currency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financial_documents</w:t>
            </w:r>
          </w:p>
        </w:tc>
        <w:tc>
          <w:tcPr>
            <w:tcW w:type="dxa" w:w="3456"/>
          </w:tcPr>
          <w:p>
            <w:r>
              <w:t>reporting_amount + FX fields</w:t>
            </w:r>
          </w:p>
        </w:tc>
        <w:tc>
          <w:tcPr>
            <w:tcW w:type="dxa" w:w="3456"/>
          </w:tcPr>
          <w:p>
            <w:r>
              <w:t>Theo FX baseline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financial_document_matches</w:t>
            </w:r>
          </w:p>
        </w:tc>
        <w:tc>
          <w:tcPr>
            <w:tcW w:type="dxa" w:w="3456"/>
          </w:tcPr>
          <w:p>
            <w:r>
              <w:t>document_id</w:t>
            </w:r>
          </w:p>
        </w:tc>
        <w:tc>
          <w:tcPr>
            <w:tcW w:type="dxa" w:w="3456"/>
          </w:tcPr>
          <w:p>
            <w:r>
              <w:t>FK document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financial_document_matches</w:t>
            </w:r>
          </w:p>
        </w:tc>
        <w:tc>
          <w:tcPr>
            <w:tcW w:type="dxa" w:w="3456"/>
          </w:tcPr>
          <w:p>
            <w:r>
              <w:t>source_type / source_id</w:t>
            </w:r>
          </w:p>
        </w:tc>
        <w:tc>
          <w:tcPr>
            <w:tcW w:type="dxa" w:w="3456"/>
          </w:tcPr>
          <w:p>
            <w:r>
              <w:t>COST / REVENUE + source line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financial_document_matches</w:t>
            </w:r>
          </w:p>
        </w:tc>
        <w:tc>
          <w:tcPr>
            <w:tcW w:type="dxa" w:w="3456"/>
          </w:tcPr>
          <w:p>
            <w:r>
              <w:t>source_original_amount</w:t>
            </w:r>
          </w:p>
        </w:tc>
        <w:tc>
          <w:tcPr>
            <w:tcW w:type="dxa" w:w="3456"/>
          </w:tcPr>
          <w:p>
            <w:r>
              <w:t>Snapshot source amount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financial_document_matches</w:t>
            </w:r>
          </w:p>
        </w:tc>
        <w:tc>
          <w:tcPr>
            <w:tcW w:type="dxa" w:w="3456"/>
          </w:tcPr>
          <w:p>
            <w:r>
              <w:t>matched_original_amount</w:t>
            </w:r>
          </w:p>
        </w:tc>
        <w:tc>
          <w:tcPr>
            <w:tcW w:type="dxa" w:w="3456"/>
          </w:tcPr>
          <w:p>
            <w:r>
              <w:t>Amount được match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financial_document_matches</w:t>
            </w:r>
          </w:p>
        </w:tc>
        <w:tc>
          <w:tcPr>
            <w:tcW w:type="dxa" w:w="3456"/>
          </w:tcPr>
          <w:p>
            <w:r>
              <w:t>matched_reporting_amount</w:t>
            </w:r>
          </w:p>
        </w:tc>
        <w:tc>
          <w:tcPr>
            <w:tcW w:type="dxa" w:w="3456"/>
          </w:tcPr>
          <w:p>
            <w:r>
              <w:t>Reporting value có FX trace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financial_document_matches</w:t>
            </w:r>
          </w:p>
        </w:tc>
        <w:tc>
          <w:tcPr>
            <w:tcW w:type="dxa" w:w="3456"/>
          </w:tcPr>
          <w:p>
            <w:r>
              <w:t>variance_amount</w:t>
            </w:r>
          </w:p>
        </w:tc>
        <w:tc>
          <w:tcPr>
            <w:tcW w:type="dxa" w:w="3456"/>
          </w:tcPr>
          <w:p>
            <w:r>
              <w:t>Document-vs-source variance theo policy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financial_document_matches</w:t>
            </w:r>
          </w:p>
        </w:tc>
        <w:tc>
          <w:tcPr>
            <w:tcW w:type="dxa" w:w="3456"/>
          </w:tcPr>
          <w:p>
            <w:r>
              <w:t>bill_id / shipment_id</w:t>
            </w:r>
          </w:p>
        </w:tc>
        <w:tc>
          <w:tcPr>
            <w:tcW w:type="dxa" w:w="3456"/>
          </w:tcPr>
          <w:p>
            <w:r>
              <w:t>Reference/drill-down; không thay source line</w:t>
            </w:r>
          </w:p>
        </w:tc>
      </w:tr>
    </w:tbl>
    <w:p>
      <w:pPr>
        <w:pStyle w:val="Heading1"/>
      </w:pPr>
      <w:r>
        <w:t>8. Ví dụ nghiệp vụ</w:t>
      </w:r>
    </w:p>
    <w:p>
      <w:r>
        <w:t>AR-side — LCMS Generated: BILL001 có Revenue Freight 400 USD + Handling 50 USD + Documentation 20 USD. User chọn Freight + Handling → Document Amount = 450 USD; Documentation còn 20 USD chưa document hóa.</w:t>
      </w:r>
    </w:p>
    <w:p>
      <w:r>
        <w:t>AP-side — External Received: LCMS Cost Freight 300 USD + Screening 20 USD. Vendor Invoice = 330 USD. User nhập document 330 USD, match 320 USD vào hai Cost lines; phần 10 USD phải hiển thị Unmatched/Variance để xử lý, không tự sửa Cost thành 330 USD.</w:t>
      </w:r>
    </w:p>
    <w:p>
      <w:pPr>
        <w:pStyle w:val="Heading1"/>
      </w:pPr>
      <w:r>
        <w:t>9. Acceptance gate</w:t>
      </w:r>
    </w:p>
    <w:p>
      <w:r>
        <w:t>Không coi fix hoàn tất chỉ vì ô Tổng tiền auto-fill. DEV phải triển khai đúng source-line selection/matching, hai mode, partial/multi-line behavior, double-counting control và compatibility với Reporting Currency &amp; FX. Các AC Critical/High trong workbook đi kèm phải PASS.</w:t>
      </w:r>
    </w:p>
    <w:p>
      <w:pPr>
        <w:pStyle w:val="Heading1"/>
      </w:pPr>
      <w:r>
        <w:t>10. Ngoài phạm vi batch này</w:t>
      </w:r>
    </w:p>
    <w:p>
      <w:r>
        <w:t>Không thay đổi Economic Cost/Revenue maturity model đã khóa; không thay đổi AP/AR settlement logic; không biến Financial Document thành accounting ledger; không xử lý lại package/container hoặc Rating UX trong batch này.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 Fix Package — 02/10/2026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LCMS — Financial Document Source &amp; Matching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