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LCMS — DEV ARCHITECTURE CHANGE</w:t>
        <w:br/>
        <w:t>INDEPENDENT RATE CARD &amp; SURCHARGE</w:t>
      </w:r>
    </w:p>
    <w:p>
      <w:pPr>
        <w:jc w:val="center"/>
      </w:pPr>
      <w:r>
        <w:rPr>
          <w:b/>
        </w:rPr>
        <w:t>Version 1.0 — Functional / Data / Rating Engine / Migration / UAT — 05/10/2026</w:t>
      </w:r>
    </w:p>
    <w:p>
      <w:r>
        <w:t>[PO CONFIRMED / ARCHITECTURE CHANGE] — Rate Card và Surcharge trở thành hai Pricing Object độc lập.</w:t>
      </w:r>
    </w:p>
    <w:p>
      <w:r>
        <w:t>Mục tiêu: tách quản lý cước chính và phụ phí. Người dùng không còn bắt buộc khai phụ phí như Pricing Rule Component bên trong từng phiên bản Bảng giá. Rating Engine vẫn hợp nhất Base Rate + Applicable Surcharges để tạo kết quả Rating có breakdown và trace.</w:t>
      </w:r>
    </w:p>
    <w:p>
      <w:pPr>
        <w:pStyle w:val="Heading1"/>
      </w:pPr>
      <w:r>
        <w:t>1. Hiện trạng và thay đổi</w:t>
      </w:r>
    </w:p>
    <w:p>
      <w:r>
        <w:t>Hiện trạng: phụ phí đang được mô hình hóa chủ yếu như thành phần của Pricing Rule gắn vào Rate Version; Published Rate Version bất biến. Điều này khiến một phụ phí dùng chung (Fuel, Security, Handling, Peak Season...) phải được cấu hình lặp lại trong nhiều bảng giá/version.</w:t>
      </w:r>
    </w:p>
    <w:p>
      <w:r>
        <w:t>Thay đổi: Rate Card quản lý Base Rate; Surcharge là object độc lập có applicability rule, BUY/SELL, calculation basis, currency, version/effective period riêng. Liên kết tới Rate Card là tùy chọn, không còn là quan hệ cha-con bắt buộc.</w:t>
      </w:r>
    </w:p>
    <w:p>
      <w:pPr>
        <w:pStyle w:val="Heading1"/>
      </w:pPr>
      <w:r>
        <w:t>2. Mô hình mục tiêu</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r>
              <w:t>Object</w:t>
            </w:r>
          </w:p>
        </w:tc>
        <w:tc>
          <w:tcPr>
            <w:tcW w:type="dxa" w:w="2592"/>
            <w:vAlign w:val="center"/>
          </w:tcPr>
          <w:p>
            <w:r>
              <w:t>Trách nhiệm</w:t>
            </w:r>
          </w:p>
        </w:tc>
        <w:tc>
          <w:tcPr>
            <w:tcW w:type="dxa" w:w="2592"/>
            <w:vAlign w:val="center"/>
          </w:tcPr>
          <w:p>
            <w:r>
              <w:t>Versioning</w:t>
            </w:r>
          </w:p>
        </w:tc>
        <w:tc>
          <w:tcPr>
            <w:tcW w:type="dxa" w:w="2592"/>
            <w:vAlign w:val="center"/>
          </w:tcPr>
          <w:p>
            <w:r>
              <w:t>Kết quả Rating</w:t>
            </w:r>
          </w:p>
        </w:tc>
      </w:tr>
      <w:tr>
        <w:trPr>
          <w:cantSplit/>
        </w:trPr>
        <w:tc>
          <w:tcPr>
            <w:tcW w:type="dxa" w:w="2592"/>
            <w:vAlign w:val="center"/>
          </w:tcPr>
          <w:p>
            <w:r>
              <w:t>Rate Card</w:t>
            </w:r>
          </w:p>
        </w:tc>
        <w:tc>
          <w:tcPr>
            <w:tcW w:type="dxa" w:w="2592"/>
            <w:vAlign w:val="center"/>
          </w:tcPr>
          <w:p>
            <w:r>
              <w:t>Cước chính / Base Rate; weight break, unit/container/fixed/composite base pricing.</w:t>
            </w:r>
          </w:p>
        </w:tc>
        <w:tc>
          <w:tcPr>
            <w:tcW w:type="dxa" w:w="2592"/>
            <w:vAlign w:val="center"/>
          </w:tcPr>
          <w:p>
            <w:r>
              <w:t>Rate Version riêng; Published immutable.</w:t>
            </w:r>
          </w:p>
        </w:tc>
        <w:tc>
          <w:tcPr>
            <w:tcW w:type="dxa" w:w="2592"/>
            <w:vAlign w:val="center"/>
          </w:tcPr>
          <w:p>
            <w:r>
              <w:t>Base charge lines</w:t>
            </w:r>
          </w:p>
        </w:tc>
      </w:tr>
      <w:tr>
        <w:trPr>
          <w:cantSplit/>
        </w:trPr>
        <w:tc>
          <w:tcPr>
            <w:tcW w:type="dxa" w:w="2592"/>
            <w:vAlign w:val="center"/>
          </w:tcPr>
          <w:p>
            <w:r>
              <w:t>Surcharge</w:t>
            </w:r>
          </w:p>
        </w:tc>
        <w:tc>
          <w:tcPr>
            <w:tcW w:type="dxa" w:w="2592"/>
            <w:vAlign w:val="center"/>
          </w:tcPr>
          <w:p>
            <w:r>
              <w:t>Phụ phí / Additional Charge độc lập; điều kiện áp dụng và công thức riêng.</w:t>
            </w:r>
          </w:p>
        </w:tc>
        <w:tc>
          <w:tcPr>
            <w:tcW w:type="dxa" w:w="2592"/>
            <w:vAlign w:val="center"/>
          </w:tcPr>
          <w:p>
            <w:r>
              <w:t>Surcharge Version riêng; hiệu lực riêng.</w:t>
            </w:r>
          </w:p>
        </w:tc>
        <w:tc>
          <w:tcPr>
            <w:tcW w:type="dxa" w:w="2592"/>
            <w:vAlign w:val="center"/>
          </w:tcPr>
          <w:p>
            <w:r>
              <w:t>Surcharge charge lines</w:t>
            </w:r>
          </w:p>
        </w:tc>
      </w:tr>
      <w:tr>
        <w:trPr>
          <w:cantSplit/>
        </w:trPr>
        <w:tc>
          <w:tcPr>
            <w:tcW w:type="dxa" w:w="2592"/>
            <w:vAlign w:val="center"/>
          </w:tcPr>
          <w:p>
            <w:r>
              <w:t>Rating Engine</w:t>
            </w:r>
          </w:p>
        </w:tc>
        <w:tc>
          <w:tcPr>
            <w:tcW w:type="dxa" w:w="2592"/>
            <w:vAlign w:val="center"/>
          </w:tcPr>
          <w:p>
            <w:r>
              <w:t>Chọn Base Rate + tìm toàn bộ surcharge applicable; chống trùng.</w:t>
            </w:r>
          </w:p>
        </w:tc>
        <w:tc>
          <w:tcPr>
            <w:tcW w:type="dxa" w:w="2592"/>
            <w:vAlign w:val="center"/>
          </w:tcPr>
          <w:p>
            <w:r>
              <w:t>Snapshot version/rule đã áp dụng.</w:t>
            </w:r>
          </w:p>
        </w:tc>
        <w:tc>
          <w:tcPr>
            <w:tcW w:type="dxa" w:w="2592"/>
            <w:vAlign w:val="center"/>
          </w:tcPr>
          <w:p>
            <w:r>
              <w:t>Expected Cost/Revenue + breakdown</w:t>
            </w:r>
          </w:p>
        </w:tc>
      </w:tr>
    </w:tbl>
    <w:p>
      <w:pPr>
        <w:pStyle w:val="Heading1"/>
      </w:pPr>
      <w:r>
        <w:t>3. Quy tắc nghiệp vụ đã chốt</w:t>
      </w:r>
    </w:p>
    <w:tbl>
      <w:tblPr>
        <w:tblStyle w:val="TableGrid"/>
        <w:tblW w:type="auto" w:w="0"/>
        <w:tblLook w:firstColumn="1" w:firstRow="1" w:lastColumn="0" w:lastRow="0" w:noHBand="0" w:noVBand="1" w:val="04A0"/>
      </w:tblPr>
      <w:tblGrid>
        <w:gridCol w:w="5184"/>
        <w:gridCol w:w="5184"/>
      </w:tblGrid>
      <w:tr>
        <w:trPr>
          <w:cantSplit/>
        </w:trPr>
        <w:tc>
          <w:tcPr>
            <w:tcW w:type="dxa" w:w="5184"/>
            <w:vAlign w:val="center"/>
          </w:tcPr>
          <w:p>
            <w:r>
              <w:t>Rule</w:t>
            </w:r>
          </w:p>
        </w:tc>
        <w:tc>
          <w:tcPr>
            <w:tcW w:type="dxa" w:w="5184"/>
            <w:vAlign w:val="center"/>
          </w:tcPr>
          <w:p>
            <w:r>
              <w:t>Yêu cầu</w:t>
            </w:r>
          </w:p>
        </w:tc>
      </w:tr>
      <w:tr>
        <w:trPr>
          <w:cantSplit/>
        </w:trPr>
        <w:tc>
          <w:tcPr>
            <w:tcW w:type="dxa" w:w="5184"/>
            <w:vAlign w:val="center"/>
          </w:tcPr>
          <w:p>
            <w:r>
              <w:t>SUR-01</w:t>
            </w:r>
          </w:p>
        </w:tc>
        <w:tc>
          <w:tcPr>
            <w:tcW w:type="dxa" w:w="5184"/>
            <w:vAlign w:val="center"/>
          </w:tcPr>
          <w:p>
            <w:r>
              <w:t>Rate Card và Surcharge là hai pricing object độc lập.</w:t>
            </w:r>
          </w:p>
        </w:tc>
      </w:tr>
      <w:tr>
        <w:trPr>
          <w:cantSplit/>
        </w:trPr>
        <w:tc>
          <w:tcPr>
            <w:tcW w:type="dxa" w:w="5184"/>
            <w:vAlign w:val="center"/>
          </w:tcPr>
          <w:p>
            <w:r>
              <w:t>SUR-02</w:t>
            </w:r>
          </w:p>
        </w:tc>
        <w:tc>
          <w:tcPr>
            <w:tcW w:type="dxa" w:w="5184"/>
            <w:vAlign w:val="center"/>
          </w:tcPr>
          <w:p>
            <w:r>
              <w:t>Rate Card quản lý Base Rate; Surcharge quản lý Additional Charge.</w:t>
            </w:r>
          </w:p>
        </w:tc>
      </w:tr>
      <w:tr>
        <w:trPr>
          <w:cantSplit/>
        </w:trPr>
        <w:tc>
          <w:tcPr>
            <w:tcW w:type="dxa" w:w="5184"/>
            <w:vAlign w:val="center"/>
          </w:tcPr>
          <w:p>
            <w:r>
              <w:t>SUR-03</w:t>
            </w:r>
          </w:p>
        </w:tc>
        <w:tc>
          <w:tcPr>
            <w:tcW w:type="dxa" w:w="5184"/>
            <w:vAlign w:val="center"/>
          </w:tcPr>
          <w:p>
            <w:r>
              <w:t>Không bắt buộc khai Surcharge như Pricing Rule Component của Rate Card.</w:t>
            </w:r>
          </w:p>
        </w:tc>
      </w:tr>
      <w:tr>
        <w:trPr>
          <w:cantSplit/>
        </w:trPr>
        <w:tc>
          <w:tcPr>
            <w:tcW w:type="dxa" w:w="5184"/>
            <w:vAlign w:val="center"/>
          </w:tcPr>
          <w:p>
            <w:r>
              <w:t>SUR-04</w:t>
            </w:r>
          </w:p>
        </w:tc>
        <w:tc>
          <w:tcPr>
            <w:tcW w:type="dxa" w:w="5184"/>
            <w:vAlign w:val="center"/>
          </w:tcPr>
          <w:p>
            <w:r>
              <w:t>Surcharge phải có Applicability Rule riêng; không có điều kiện phù hợp thì không áp dụng.</w:t>
            </w:r>
          </w:p>
        </w:tc>
      </w:tr>
      <w:tr>
        <w:trPr>
          <w:cantSplit/>
        </w:trPr>
        <w:tc>
          <w:tcPr>
            <w:tcW w:type="dxa" w:w="5184"/>
            <w:vAlign w:val="center"/>
          </w:tcPr>
          <w:p>
            <w:r>
              <w:t>SUR-05</w:t>
            </w:r>
          </w:p>
        </w:tc>
        <w:tc>
          <w:tcPr>
            <w:tcW w:type="dxa" w:w="5184"/>
            <w:vAlign w:val="center"/>
          </w:tcPr>
          <w:p>
            <w:r>
              <w:t>Surcharge hỗ trợ BUY / SELL; BOTH chỉ dùng nếu policy cho phép và phải xác định rõ output Cost/Revenue.</w:t>
            </w:r>
          </w:p>
        </w:tc>
      </w:tr>
      <w:tr>
        <w:trPr>
          <w:cantSplit/>
        </w:trPr>
        <w:tc>
          <w:tcPr>
            <w:tcW w:type="dxa" w:w="5184"/>
            <w:vAlign w:val="center"/>
          </w:tcPr>
          <w:p>
            <w:r>
              <w:t>SUR-06</w:t>
            </w:r>
          </w:p>
        </w:tc>
        <w:tc>
          <w:tcPr>
            <w:tcW w:type="dxa" w:w="5184"/>
            <w:vAlign w:val="center"/>
          </w:tcPr>
          <w:p>
            <w:r>
              <w:t>Scope surcharge có thể gồm: phương thức, dịch vụ, origin/destination/tuyến, vendor/customer, commodity/cargo attribute, weight/qty/container context, tenant/branch và thời gian hiệu lực.</w:t>
            </w:r>
          </w:p>
        </w:tc>
      </w:tr>
      <w:tr>
        <w:trPr>
          <w:cantSplit/>
        </w:trPr>
        <w:tc>
          <w:tcPr>
            <w:tcW w:type="dxa" w:w="5184"/>
            <w:vAlign w:val="center"/>
          </w:tcPr>
          <w:p>
            <w:r>
              <w:t>SUR-07</w:t>
            </w:r>
          </w:p>
        </w:tc>
        <w:tc>
          <w:tcPr>
            <w:tcW w:type="dxa" w:w="5184"/>
            <w:vAlign w:val="center"/>
          </w:tcPr>
          <w:p>
            <w:r>
              <w:t>Surcharge có thể scope tới Rate Card/Rate Version cụ thể nhưng liên kết này là OPTIONAL.</w:t>
            </w:r>
          </w:p>
        </w:tc>
      </w:tr>
      <w:tr>
        <w:trPr>
          <w:cantSplit/>
        </w:trPr>
        <w:tc>
          <w:tcPr>
            <w:tcW w:type="dxa" w:w="5184"/>
            <w:vAlign w:val="center"/>
          </w:tcPr>
          <w:p>
            <w:r>
              <w:t>SUR-08</w:t>
            </w:r>
          </w:p>
        </w:tc>
        <w:tc>
          <w:tcPr>
            <w:tcW w:type="dxa" w:w="5184"/>
            <w:vAlign w:val="center"/>
          </w:tcPr>
          <w:p>
            <w:r>
              <w:t>Surcharge có version/effective period riêng. Thay đổi surcharge không bắt buộc tạo Rate Card Version mới.</w:t>
            </w:r>
          </w:p>
        </w:tc>
      </w:tr>
      <w:tr>
        <w:trPr>
          <w:cantSplit/>
        </w:trPr>
        <w:tc>
          <w:tcPr>
            <w:tcW w:type="dxa" w:w="5184"/>
            <w:vAlign w:val="center"/>
          </w:tcPr>
          <w:p>
            <w:r>
              <w:t>SUR-09</w:t>
            </w:r>
          </w:p>
        </w:tc>
        <w:tc>
          <w:tcPr>
            <w:tcW w:type="dxa" w:w="5184"/>
            <w:vAlign w:val="center"/>
          </w:tcPr>
          <w:p>
            <w:r>
              <w:t>Published/historical Surcharge Version bất biến; thay đổi bằng version mới.</w:t>
            </w:r>
          </w:p>
        </w:tc>
      </w:tr>
      <w:tr>
        <w:trPr>
          <w:cantSplit/>
        </w:trPr>
        <w:tc>
          <w:tcPr>
            <w:tcW w:type="dxa" w:w="5184"/>
            <w:vAlign w:val="center"/>
          </w:tcPr>
          <w:p>
            <w:r>
              <w:t>SUR-10</w:t>
            </w:r>
          </w:p>
        </w:tc>
        <w:tc>
          <w:tcPr>
            <w:tcW w:type="dxa" w:w="5184"/>
            <w:vAlign w:val="center"/>
          </w:tcPr>
          <w:p>
            <w:r>
              <w:t>Rating Engine = Base Rate + tất cả Applicable Surcharges hợp lệ tại rating context/as-of time.</w:t>
            </w:r>
          </w:p>
        </w:tc>
      </w:tr>
      <w:tr>
        <w:trPr>
          <w:cantSplit/>
        </w:trPr>
        <w:tc>
          <w:tcPr>
            <w:tcW w:type="dxa" w:w="5184"/>
            <w:vAlign w:val="center"/>
          </w:tcPr>
          <w:p>
            <w:r>
              <w:t>SUR-11</w:t>
            </w:r>
          </w:p>
        </w:tc>
        <w:tc>
          <w:tcPr>
            <w:tcW w:type="dxa" w:w="5184"/>
            <w:vAlign w:val="center"/>
          </w:tcPr>
          <w:p>
            <w:r>
              <w:t>Rating Result phải lưu breakdown Base Charge và từng Surcharge, kèm source object/version/rule.</w:t>
            </w:r>
          </w:p>
        </w:tc>
      </w:tr>
      <w:tr>
        <w:trPr>
          <w:cantSplit/>
        </w:trPr>
        <w:tc>
          <w:tcPr>
            <w:tcW w:type="dxa" w:w="5184"/>
            <w:vAlign w:val="center"/>
          </w:tcPr>
          <w:p>
            <w:r>
              <w:t>SUR-12</w:t>
            </w:r>
          </w:p>
        </w:tc>
        <w:tc>
          <w:tcPr>
            <w:tcW w:type="dxa" w:w="5184"/>
            <w:vAlign w:val="center"/>
          </w:tcPr>
          <w:p>
            <w:r>
              <w:t>Không double apply cùng một surcharge economic item khi match nhiều scope/rule; engine phải có uniqueness/precedence policy.</w:t>
            </w:r>
          </w:p>
        </w:tc>
      </w:tr>
      <w:tr>
        <w:trPr>
          <w:cantSplit/>
        </w:trPr>
        <w:tc>
          <w:tcPr>
            <w:tcW w:type="dxa" w:w="5184"/>
            <w:vAlign w:val="center"/>
          </w:tcPr>
          <w:p>
            <w:r>
              <w:t>SUR-13</w:t>
            </w:r>
          </w:p>
        </w:tc>
        <w:tc>
          <w:tcPr>
            <w:tcW w:type="dxa" w:w="5184"/>
            <w:vAlign w:val="center"/>
          </w:tcPr>
          <w:p>
            <w:r>
              <w:t>Rerating tạo Rating mới; không rewrite Rating lịch sử.</w:t>
            </w:r>
          </w:p>
        </w:tc>
      </w:tr>
      <w:tr>
        <w:trPr>
          <w:cantSplit/>
        </w:trPr>
        <w:tc>
          <w:tcPr>
            <w:tcW w:type="dxa" w:w="5184"/>
            <w:vAlign w:val="center"/>
          </w:tcPr>
          <w:p>
            <w:r>
              <w:t>SUR-14</w:t>
            </w:r>
          </w:p>
        </w:tc>
        <w:tc>
          <w:tcPr>
            <w:tcW w:type="dxa" w:w="5184"/>
            <w:vAlign w:val="center"/>
          </w:tcPr>
          <w:p>
            <w:r>
              <w:t>Surcharge currency khác Reporting Currency hoặc output currency phải tuân thủ Reporting Currency &amp; FX baseline hiện hành.</w:t>
            </w:r>
          </w:p>
        </w:tc>
      </w:tr>
      <w:tr>
        <w:trPr>
          <w:cantSplit/>
        </w:trPr>
        <w:tc>
          <w:tcPr>
            <w:tcW w:type="dxa" w:w="5184"/>
            <w:vAlign w:val="center"/>
          </w:tcPr>
          <w:p>
            <w:r>
              <w:t>SUR-15</w:t>
            </w:r>
          </w:p>
        </w:tc>
        <w:tc>
          <w:tcPr>
            <w:tcW w:type="dxa" w:w="5184"/>
            <w:vAlign w:val="center"/>
          </w:tcPr>
          <w:p>
            <w:r>
              <w:t>Surcharge chỉ tạo Expected Cost/Expected Revenue thông qua Rating; không tự tạo Actual Cost/Revenue.</w:t>
            </w:r>
          </w:p>
        </w:tc>
      </w:tr>
    </w:tbl>
    <w:p>
      <w:pPr>
        <w:pStyle w:val="Heading1"/>
      </w:pPr>
      <w:r>
        <w:t>4. Applicability &amp; precedence</w:t>
      </w:r>
    </w:p>
    <w:p>
      <w:r>
        <w:t>Một Surcharge Version có thể khai các điều kiện áp dụng sau (field nào không khai = không giới hạn theo field đó):</w:t>
      </w:r>
    </w:p>
    <w:p>
      <w:r>
        <w:t>Direction: BUY / SELL.</w:t>
      </w:r>
    </w:p>
    <w:p>
      <w:r>
        <w:t>Transport mode: AIR / SEA / ROAD / RAIL / EXPRESS / OTHER.</w:t>
      </w:r>
    </w:p>
    <w:p>
      <w:r>
        <w:t>Service / service type.</w:t>
      </w:r>
    </w:p>
    <w:p>
      <w:r>
        <w:t>Vendor (BUY) hoặc Customer/Customer Group (SELL).</w:t>
      </w:r>
    </w:p>
    <w:p>
      <w:r>
        <w:t>Origin / Destination / Route / Zone.</w:t>
      </w:r>
    </w:p>
    <w:p>
      <w:r>
        <w:t>Cargo attributes: DG, commodity, special handling, package/container context.</w:t>
      </w:r>
    </w:p>
    <w:p>
      <w:r>
        <w:t>Weight / Chargeable Weight / Volume / Quantity / TEU / Container type.</w:t>
      </w:r>
    </w:p>
    <w:p>
      <w:r>
        <w:t>Optional Rate Card / Rate Version scope.</w:t>
      </w:r>
    </w:p>
    <w:p>
      <w:r>
        <w:t>Valid-from / Valid-to và trạng thái Published/Active.</w:t>
      </w:r>
    </w:p>
    <w:p>
      <w:r>
        <w:t>Precedence tối thiểu: rule cụ thể hơn được ưu tiên so với rule tổng quát khi cùng surcharge code/economic item. Nếu vẫn còn xung đột không xác định được duy nhất, Rating phải báo ambiguity/exception; không tự cộng cả hai.</w:t>
      </w:r>
    </w:p>
    <w:p>
      <w:pPr>
        <w:pStyle w:val="Heading1"/>
      </w:pPr>
      <w:r>
        <w:t>5. Calculation modes cho Surcharge</w:t>
      </w:r>
    </w:p>
    <w:tbl>
      <w:tblPr>
        <w:tblStyle w:val="TableGrid"/>
        <w:tblW w:type="auto" w:w="0"/>
        <w:tblLook w:firstColumn="1" w:firstRow="1" w:lastColumn="0" w:lastRow="0" w:noHBand="0" w:noVBand="1" w:val="04A0"/>
      </w:tblPr>
      <w:tblGrid>
        <w:gridCol w:w="2592"/>
        <w:gridCol w:w="2592"/>
        <w:gridCol w:w="2592"/>
        <w:gridCol w:w="2592"/>
      </w:tblGrid>
      <w:tr>
        <w:trPr>
          <w:cantSplit/>
        </w:trPr>
        <w:tc>
          <w:tcPr>
            <w:tcW w:type="dxa" w:w="2592"/>
            <w:vAlign w:val="center"/>
          </w:tcPr>
          <w:p>
            <w:r>
              <w:t>Mode</w:t>
            </w:r>
          </w:p>
        </w:tc>
        <w:tc>
          <w:tcPr>
            <w:tcW w:type="dxa" w:w="2592"/>
            <w:vAlign w:val="center"/>
          </w:tcPr>
          <w:p>
            <w:r>
              <w:t>Ví dụ</w:t>
            </w:r>
          </w:p>
        </w:tc>
        <w:tc>
          <w:tcPr>
            <w:tcW w:type="dxa" w:w="2592"/>
            <w:vAlign w:val="center"/>
          </w:tcPr>
          <w:p>
            <w:r>
              <w:t>Basis</w:t>
            </w:r>
          </w:p>
        </w:tc>
        <w:tc>
          <w:tcPr>
            <w:tcW w:type="dxa" w:w="2592"/>
            <w:vAlign w:val="center"/>
          </w:tcPr>
          <w:p>
            <w:r>
              <w:t>Kết quả</w:t>
            </w:r>
          </w:p>
        </w:tc>
      </w:tr>
      <w:tr>
        <w:trPr>
          <w:cantSplit/>
        </w:trPr>
        <w:tc>
          <w:tcPr>
            <w:tcW w:type="dxa" w:w="2592"/>
            <w:vAlign w:val="center"/>
          </w:tcPr>
          <w:p>
            <w:r>
              <w:t>UNIT_RATE</w:t>
            </w:r>
          </w:p>
        </w:tc>
        <w:tc>
          <w:tcPr>
            <w:tcW w:type="dxa" w:w="2592"/>
            <w:vAlign w:val="center"/>
          </w:tcPr>
          <w:p>
            <w:r>
              <w:t>2.000 VND/kg</w:t>
            </w:r>
          </w:p>
        </w:tc>
        <w:tc>
          <w:tcPr>
            <w:tcW w:type="dxa" w:w="2592"/>
            <w:vAlign w:val="center"/>
          </w:tcPr>
          <w:p>
            <w:r>
              <w:t>Chargeable Weight / Weight / Qty</w:t>
            </w:r>
          </w:p>
        </w:tc>
        <w:tc>
          <w:tcPr>
            <w:tcW w:type="dxa" w:w="2592"/>
            <w:vAlign w:val="center"/>
          </w:tcPr>
          <w:p>
            <w:r>
              <w:t>rate × basis</w:t>
            </w:r>
          </w:p>
        </w:tc>
      </w:tr>
      <w:tr>
        <w:trPr>
          <w:cantSplit/>
        </w:trPr>
        <w:tc>
          <w:tcPr>
            <w:tcW w:type="dxa" w:w="2592"/>
            <w:vAlign w:val="center"/>
          </w:tcPr>
          <w:p>
            <w:r>
              <w:t>FIXED_RATE</w:t>
            </w:r>
          </w:p>
        </w:tc>
        <w:tc>
          <w:tcPr>
            <w:tcW w:type="dxa" w:w="2592"/>
            <w:vAlign w:val="center"/>
          </w:tcPr>
          <w:p>
            <w:r>
              <w:t>50.000 VND/Bill</w:t>
            </w:r>
          </w:p>
        </w:tc>
        <w:tc>
          <w:tcPr>
            <w:tcW w:type="dxa" w:w="2592"/>
            <w:vAlign w:val="center"/>
          </w:tcPr>
          <w:p>
            <w:r>
              <w:t>Bill/Shipment/Leg/Movement</w:t>
            </w:r>
          </w:p>
        </w:tc>
        <w:tc>
          <w:tcPr>
            <w:tcW w:type="dxa" w:w="2592"/>
            <w:vAlign w:val="center"/>
          </w:tcPr>
          <w:p>
            <w:r>
              <w:t>fixed amount</w:t>
            </w:r>
          </w:p>
        </w:tc>
      </w:tr>
      <w:tr>
        <w:trPr>
          <w:cantSplit/>
        </w:trPr>
        <w:tc>
          <w:tcPr>
            <w:tcW w:type="dxa" w:w="2592"/>
            <w:vAlign w:val="center"/>
          </w:tcPr>
          <w:p>
            <w:r>
              <w:t>CONTAINER_RATE</w:t>
            </w:r>
          </w:p>
        </w:tc>
        <w:tc>
          <w:tcPr>
            <w:tcW w:type="dxa" w:w="2592"/>
            <w:vAlign w:val="center"/>
          </w:tcPr>
          <w:p>
            <w:r>
              <w:t>1.500.000 VND/40HC</w:t>
            </w:r>
          </w:p>
        </w:tc>
        <w:tc>
          <w:tcPr>
            <w:tcW w:type="dxa" w:w="2592"/>
            <w:vAlign w:val="center"/>
          </w:tcPr>
          <w:p>
            <w:r>
              <w:t>Container count/type</w:t>
            </w:r>
          </w:p>
        </w:tc>
        <w:tc>
          <w:tcPr>
            <w:tcW w:type="dxa" w:w="2592"/>
            <w:vAlign w:val="center"/>
          </w:tcPr>
          <w:p>
            <w:r>
              <w:t>rate × container qty</w:t>
            </w:r>
          </w:p>
        </w:tc>
      </w:tr>
      <w:tr>
        <w:trPr>
          <w:cantSplit/>
        </w:trPr>
        <w:tc>
          <w:tcPr>
            <w:tcW w:type="dxa" w:w="2592"/>
            <w:vAlign w:val="center"/>
          </w:tcPr>
          <w:p>
            <w:r>
              <w:t>WEIGHT_BREAK</w:t>
            </w:r>
          </w:p>
        </w:tc>
        <w:tc>
          <w:tcPr>
            <w:tcW w:type="dxa" w:w="2592"/>
            <w:vAlign w:val="center"/>
          </w:tcPr>
          <w:p>
            <w:r>
              <w:t>FSC theo bậc kg</w:t>
            </w:r>
          </w:p>
        </w:tc>
        <w:tc>
          <w:tcPr>
            <w:tcW w:type="dxa" w:w="2592"/>
            <w:vAlign w:val="center"/>
          </w:tcPr>
          <w:p>
            <w:r>
              <w:t>Weight/Chargeable Weight</w:t>
            </w:r>
          </w:p>
        </w:tc>
        <w:tc>
          <w:tcPr>
            <w:tcW w:type="dxa" w:w="2592"/>
            <w:vAlign w:val="center"/>
          </w:tcPr>
          <w:p>
            <w:r>
              <w:t>chọn tier rồi tính</w:t>
            </w:r>
          </w:p>
        </w:tc>
      </w:tr>
      <w:tr>
        <w:trPr>
          <w:cantSplit/>
        </w:trPr>
        <w:tc>
          <w:tcPr>
            <w:tcW w:type="dxa" w:w="2592"/>
            <w:vAlign w:val="center"/>
          </w:tcPr>
          <w:p>
            <w:r>
              <w:t>PERCENTAGE</w:t>
            </w:r>
          </w:p>
        </w:tc>
        <w:tc>
          <w:tcPr>
            <w:tcW w:type="dxa" w:w="2592"/>
            <w:vAlign w:val="center"/>
          </w:tcPr>
          <w:p>
            <w:r>
              <w:t>Fuel = 10% base freight</w:t>
            </w:r>
          </w:p>
        </w:tc>
        <w:tc>
          <w:tcPr>
            <w:tcW w:type="dxa" w:w="2592"/>
            <w:vAlign w:val="center"/>
          </w:tcPr>
          <w:p>
            <w:r>
              <w:t>Base charge / eligible subtotal</w:t>
            </w:r>
          </w:p>
        </w:tc>
        <w:tc>
          <w:tcPr>
            <w:tcW w:type="dxa" w:w="2592"/>
            <w:vAlign w:val="center"/>
          </w:tcPr>
          <w:p>
            <w:r>
              <w:t>% × eligible base</w:t>
            </w:r>
          </w:p>
        </w:tc>
      </w:tr>
      <w:tr>
        <w:trPr>
          <w:cantSplit/>
        </w:trPr>
        <w:tc>
          <w:tcPr>
            <w:tcW w:type="dxa" w:w="2592"/>
            <w:vAlign w:val="center"/>
          </w:tcPr>
          <w:p>
            <w:r>
              <w:t>COMPOSITE</w:t>
            </w:r>
          </w:p>
        </w:tc>
        <w:tc>
          <w:tcPr>
            <w:tcW w:type="dxa" w:w="2592"/>
            <w:vAlign w:val="center"/>
          </w:tcPr>
          <w:p>
            <w:r>
              <w:t>Min/Max/step/custom formula</w:t>
            </w:r>
          </w:p>
        </w:tc>
        <w:tc>
          <w:tcPr>
            <w:tcW w:type="dxa" w:w="2592"/>
            <w:vAlign w:val="center"/>
          </w:tcPr>
          <w:p>
            <w:r>
              <w:t>Configured drivers</w:t>
            </w:r>
          </w:p>
        </w:tc>
        <w:tc>
          <w:tcPr>
            <w:tcW w:type="dxa" w:w="2592"/>
            <w:vAlign w:val="center"/>
          </w:tcPr>
          <w:p>
            <w:r>
              <w:t>theo formula được hỗ trợ</w:t>
            </w:r>
          </w:p>
        </w:tc>
      </w:tr>
    </w:tbl>
    <w:p>
      <w:pPr>
        <w:pStyle w:val="Heading1"/>
      </w:pPr>
      <w:r>
        <w:t>6. Data model đề xuất</w:t>
      </w:r>
    </w:p>
    <w:tbl>
      <w:tblPr>
        <w:tblStyle w:val="TableGrid"/>
        <w:tblW w:type="auto" w:w="0"/>
        <w:tblLook w:firstColumn="1" w:firstRow="1" w:lastColumn="0" w:lastRow="0" w:noHBand="0" w:noVBand="1" w:val="04A0"/>
      </w:tblPr>
      <w:tblGrid>
        <w:gridCol w:w="3456"/>
        <w:gridCol w:w="3456"/>
        <w:gridCol w:w="3456"/>
      </w:tblGrid>
      <w:tr>
        <w:trPr>
          <w:cantSplit/>
        </w:trPr>
        <w:tc>
          <w:tcPr>
            <w:tcW w:type="dxa" w:w="3456"/>
            <w:vAlign w:val="center"/>
          </w:tcPr>
          <w:p>
            <w:r>
              <w:t>Entity</w:t>
            </w:r>
          </w:p>
        </w:tc>
        <w:tc>
          <w:tcPr>
            <w:tcW w:type="dxa" w:w="3456"/>
            <w:vAlign w:val="center"/>
          </w:tcPr>
          <w:p>
            <w:r>
              <w:t>Field chính</w:t>
            </w:r>
          </w:p>
        </w:tc>
        <w:tc>
          <w:tcPr>
            <w:tcW w:type="dxa" w:w="3456"/>
            <w:vAlign w:val="center"/>
          </w:tcPr>
          <w:p>
            <w:r>
              <w:t>Ý nghĩa</w:t>
            </w:r>
          </w:p>
        </w:tc>
      </w:tr>
      <w:tr>
        <w:trPr>
          <w:cantSplit/>
        </w:trPr>
        <w:tc>
          <w:tcPr>
            <w:tcW w:type="dxa" w:w="3456"/>
            <w:vAlign w:val="center"/>
          </w:tcPr>
          <w:p>
            <w:r>
              <w:t>surcharges</w:t>
            </w:r>
          </w:p>
        </w:tc>
        <w:tc>
          <w:tcPr>
            <w:tcW w:type="dxa" w:w="3456"/>
            <w:vAlign w:val="center"/>
          </w:tcPr>
          <w:p>
            <w:r>
              <w:t>id, tenant_id, surcharge_code, name, direction, status</w:t>
            </w:r>
          </w:p>
        </w:tc>
        <w:tc>
          <w:tcPr>
            <w:tcW w:type="dxa" w:w="3456"/>
            <w:vAlign w:val="center"/>
          </w:tcPr>
          <w:p>
            <w:r>
              <w:t>Master identity; không phụ thuộc Rate Card.</w:t>
            </w:r>
          </w:p>
        </w:tc>
      </w:tr>
      <w:tr>
        <w:trPr>
          <w:cantSplit/>
        </w:trPr>
        <w:tc>
          <w:tcPr>
            <w:tcW w:type="dxa" w:w="3456"/>
            <w:vAlign w:val="center"/>
          </w:tcPr>
          <w:p>
            <w:r>
              <w:t>surcharge_versions</w:t>
            </w:r>
          </w:p>
        </w:tc>
        <w:tc>
          <w:tcPr>
            <w:tcW w:type="dxa" w:w="3456"/>
            <w:vAlign w:val="center"/>
          </w:tcPr>
          <w:p>
            <w:r>
              <w:t>surcharge_id, version_no, valid_from, valid_to, publish_status</w:t>
            </w:r>
          </w:p>
        </w:tc>
        <w:tc>
          <w:tcPr>
            <w:tcW w:type="dxa" w:w="3456"/>
            <w:vAlign w:val="center"/>
          </w:tcPr>
          <w:p>
            <w:r>
              <w:t>Version/effective period riêng; published immutable.</w:t>
            </w:r>
          </w:p>
        </w:tc>
      </w:tr>
      <w:tr>
        <w:trPr>
          <w:cantSplit/>
        </w:trPr>
        <w:tc>
          <w:tcPr>
            <w:tcW w:type="dxa" w:w="3456"/>
            <w:vAlign w:val="center"/>
          </w:tcPr>
          <w:p>
            <w:r>
              <w:t>surcharge_rules</w:t>
            </w:r>
          </w:p>
        </w:tc>
        <w:tc>
          <w:tcPr>
            <w:tcW w:type="dxa" w:w="3456"/>
            <w:vAlign w:val="center"/>
          </w:tcPr>
          <w:p>
            <w:r>
              <w:t>version_id, calculation_mode, currency_code, rate/amount/percent, basis, priority</w:t>
            </w:r>
          </w:p>
        </w:tc>
        <w:tc>
          <w:tcPr>
            <w:tcW w:type="dxa" w:w="3456"/>
            <w:vAlign w:val="center"/>
          </w:tcPr>
          <w:p>
            <w:r>
              <w:t>Công thức và giá trị.</w:t>
            </w:r>
          </w:p>
        </w:tc>
      </w:tr>
      <w:tr>
        <w:trPr>
          <w:cantSplit/>
        </w:trPr>
        <w:tc>
          <w:tcPr>
            <w:tcW w:type="dxa" w:w="3456"/>
            <w:vAlign w:val="center"/>
          </w:tcPr>
          <w:p>
            <w:r>
              <w:t>surcharge_conditions</w:t>
            </w:r>
          </w:p>
        </w:tc>
        <w:tc>
          <w:tcPr>
            <w:tcW w:type="dxa" w:w="3456"/>
            <w:vAlign w:val="center"/>
          </w:tcPr>
          <w:p>
            <w:r>
              <w:t>rule_id, dimension, operator, value_from/value_to/value_set</w:t>
            </w:r>
          </w:p>
        </w:tc>
        <w:tc>
          <w:tcPr>
            <w:tcW w:type="dxa" w:w="3456"/>
            <w:vAlign w:val="center"/>
          </w:tcPr>
          <w:p>
            <w:r>
              <w:t>Applicability conditions.</w:t>
            </w:r>
          </w:p>
        </w:tc>
      </w:tr>
      <w:tr>
        <w:trPr>
          <w:cantSplit/>
        </w:trPr>
        <w:tc>
          <w:tcPr>
            <w:tcW w:type="dxa" w:w="3456"/>
            <w:vAlign w:val="center"/>
          </w:tcPr>
          <w:p>
            <w:r>
              <w:t>surcharge_scopes</w:t>
            </w:r>
          </w:p>
        </w:tc>
        <w:tc>
          <w:tcPr>
            <w:tcW w:type="dxa" w:w="3456"/>
            <w:vAlign w:val="center"/>
          </w:tcPr>
          <w:p>
            <w:r>
              <w:t>rule_id, rate_card_id/rate_version_id nullable, vendor/customer/service/route...</w:t>
            </w:r>
          </w:p>
        </w:tc>
        <w:tc>
          <w:tcPr>
            <w:tcW w:type="dxa" w:w="3456"/>
            <w:vAlign w:val="center"/>
          </w:tcPr>
          <w:p>
            <w:r>
              <w:t>Optional scoping; không bắt buộc Rate Card.</w:t>
            </w:r>
          </w:p>
        </w:tc>
      </w:tr>
      <w:tr>
        <w:trPr>
          <w:cantSplit/>
        </w:trPr>
        <w:tc>
          <w:tcPr>
            <w:tcW w:type="dxa" w:w="3456"/>
            <w:vAlign w:val="center"/>
          </w:tcPr>
          <w:p>
            <w:r>
              <w:t>rating_details</w:t>
            </w:r>
          </w:p>
        </w:tc>
        <w:tc>
          <w:tcPr>
            <w:tcW w:type="dxa" w:w="3456"/>
            <w:vAlign w:val="center"/>
          </w:tcPr>
          <w:p>
            <w:r>
              <w:t>source_type, source_id, source_version_id, charge_type, amount_original/reporting, FX trace</w:t>
            </w:r>
          </w:p>
        </w:tc>
        <w:tc>
          <w:tcPr>
            <w:tcW w:type="dxa" w:w="3456"/>
            <w:vAlign w:val="center"/>
          </w:tcPr>
          <w:p>
            <w:r>
              <w:t>Snapshot Base/Surcharge đã áp dụng.</w:t>
            </w:r>
          </w:p>
        </w:tc>
      </w:tr>
    </w:tbl>
    <w:p>
      <w:pPr>
        <w:pStyle w:val="Heading1"/>
      </w:pPr>
      <w:r>
        <w:t>7. UI thay đổi</w:t>
      </w:r>
    </w:p>
    <w:tbl>
      <w:tblPr>
        <w:tblStyle w:val="TableGrid"/>
        <w:tblW w:type="auto" w:w="0"/>
        <w:tblLook w:firstColumn="1" w:firstRow="1" w:lastColumn="0" w:lastRow="0" w:noHBand="0" w:noVBand="1" w:val="04A0"/>
      </w:tblPr>
      <w:tblGrid>
        <w:gridCol w:w="5184"/>
        <w:gridCol w:w="5184"/>
      </w:tblGrid>
      <w:tr>
        <w:trPr>
          <w:cantSplit/>
        </w:trPr>
        <w:tc>
          <w:tcPr>
            <w:tcW w:type="dxa" w:w="5184"/>
            <w:vAlign w:val="center"/>
          </w:tcPr>
          <w:p>
            <w:r>
              <w:t>Màn hình</w:t>
            </w:r>
          </w:p>
        </w:tc>
        <w:tc>
          <w:tcPr>
            <w:tcW w:type="dxa" w:w="5184"/>
            <w:vAlign w:val="center"/>
          </w:tcPr>
          <w:p>
            <w:r>
              <w:t>Thay đổi</w:t>
            </w:r>
          </w:p>
        </w:tc>
      </w:tr>
      <w:tr>
        <w:trPr>
          <w:cantSplit/>
        </w:trPr>
        <w:tc>
          <w:tcPr>
            <w:tcW w:type="dxa" w:w="5184"/>
            <w:vAlign w:val="center"/>
          </w:tcPr>
          <w:p>
            <w:r>
              <w:t>Quản lý bảng giá</w:t>
            </w:r>
          </w:p>
        </w:tc>
        <w:tc>
          <w:tcPr>
            <w:tcW w:type="dxa" w:w="5184"/>
            <w:vAlign w:val="center"/>
          </w:tcPr>
          <w:p>
            <w:r>
              <w:t>Chỉ quản lý Base Rate/Pricing Rule cho cước chính. Không bắt buộc thêm phụ phí như component.</w:t>
            </w:r>
          </w:p>
        </w:tc>
      </w:tr>
      <w:tr>
        <w:trPr>
          <w:cantSplit/>
        </w:trPr>
        <w:tc>
          <w:tcPr>
            <w:tcW w:type="dxa" w:w="5184"/>
            <w:vAlign w:val="center"/>
          </w:tcPr>
          <w:p>
            <w:r>
              <w:t>Quản lý phụ phí</w:t>
            </w:r>
          </w:p>
        </w:tc>
        <w:tc>
          <w:tcPr>
            <w:tcW w:type="dxa" w:w="5184"/>
            <w:vAlign w:val="center"/>
          </w:tcPr>
          <w:p>
            <w:r>
              <w:t>Trở thành module CRUD/versioning độc lập: Danh sách → Tạo phụ phí → Version → Điều kiện áp dụng → Công thức/đơn giá → Publish.</w:t>
            </w:r>
          </w:p>
        </w:tc>
      </w:tr>
      <w:tr>
        <w:trPr>
          <w:cantSplit/>
        </w:trPr>
        <w:tc>
          <w:tcPr>
            <w:tcW w:type="dxa" w:w="5184"/>
            <w:vAlign w:val="center"/>
          </w:tcPr>
          <w:p>
            <w:r>
              <w:t>Tạo phụ phí</w:t>
            </w:r>
          </w:p>
        </w:tc>
        <w:tc>
          <w:tcPr>
            <w:tcW w:type="dxa" w:w="5184"/>
            <w:vAlign w:val="center"/>
          </w:tcPr>
          <w:p>
            <w:r>
              <w:t>Fields tối thiểu: Mã, Tên, BUY/SELL, phương thức, cách tính, basis, đơn giá/%/fixed, currency, hiệu lực, điều kiện/scope.</w:t>
            </w:r>
          </w:p>
        </w:tc>
      </w:tr>
      <w:tr>
        <w:trPr>
          <w:cantSplit/>
        </w:trPr>
        <w:tc>
          <w:tcPr>
            <w:tcW w:type="dxa" w:w="5184"/>
            <w:vAlign w:val="center"/>
          </w:tcPr>
          <w:p>
            <w:r>
              <w:t>Rate Card link</w:t>
            </w:r>
          </w:p>
        </w:tc>
        <w:tc>
          <w:tcPr>
            <w:tcW w:type="dxa" w:w="5184"/>
            <w:vAlign w:val="center"/>
          </w:tcPr>
          <w:p>
            <w:r>
              <w:t>Cho chọn Rate Card/Version nếu muốn giới hạn surcharge; để trống = áp theo applicability chung.</w:t>
            </w:r>
          </w:p>
        </w:tc>
      </w:tr>
      <w:tr>
        <w:trPr>
          <w:cantSplit/>
        </w:trPr>
        <w:tc>
          <w:tcPr>
            <w:tcW w:type="dxa" w:w="5184"/>
            <w:vAlign w:val="center"/>
          </w:tcPr>
          <w:p>
            <w:r>
              <w:t>Bill → Tính giá</w:t>
            </w:r>
          </w:p>
        </w:tc>
        <w:tc>
          <w:tcPr>
            <w:tcW w:type="dxa" w:w="5184"/>
            <w:vAlign w:val="center"/>
          </w:tcPr>
          <w:p>
            <w:r>
              <w:t>Kết quả hiển thị tách Cước chính và Phụ phí; từng dòng có source/version.</w:t>
            </w:r>
          </w:p>
        </w:tc>
      </w:tr>
      <w:tr>
        <w:trPr>
          <w:cantSplit/>
        </w:trPr>
        <w:tc>
          <w:tcPr>
            <w:tcW w:type="dxa" w:w="5184"/>
            <w:vAlign w:val="center"/>
          </w:tcPr>
          <w:p>
            <w:r>
              <w:t>Lịch sử giá</w:t>
            </w:r>
          </w:p>
        </w:tc>
        <w:tc>
          <w:tcPr>
            <w:tcW w:type="dxa" w:w="5184"/>
            <w:vAlign w:val="center"/>
          </w:tcPr>
          <w:p>
            <w:r>
              <w:t>Cho trace Rate Version và Surcharge Version độc lập đã được sử dụng.</w:t>
            </w:r>
          </w:p>
        </w:tc>
      </w:tr>
    </w:tbl>
    <w:p>
      <w:pPr>
        <w:pStyle w:val="Heading1"/>
      </w:pPr>
      <w:r>
        <w:t>8. Rating Engine flow</w:t>
      </w:r>
    </w:p>
    <w:p>
      <w:r>
        <w:t>1) Nhận Rating Context từ Bill/Shipment/Leg/Movement.</w:t>
      </w:r>
    </w:p>
    <w:p>
      <w:r>
        <w:t>2) Chọn Rate Card/Rate Version phù hợp → tính Base Charges.</w:t>
      </w:r>
    </w:p>
    <w:p>
      <w:r>
        <w:t>3) Query Surcharge Versions đang Published/Active tại as-of time.</w:t>
      </w:r>
    </w:p>
    <w:p>
      <w:r>
        <w:t>4) Đánh giá applicability theo direction/mode/service/route/party/cargo/driver/optional Rate Card scope.</w:t>
      </w:r>
    </w:p>
    <w:p>
      <w:r>
        <w:t>5) Resolve precedence/deduplication.</w:t>
      </w:r>
    </w:p>
    <w:p>
      <w:r>
        <w:t>6) Tính từng surcharge theo calculation mode và basis.</w:t>
      </w:r>
    </w:p>
    <w:p>
      <w:r>
        <w:t>7) Áp FX theo baseline nếu cần.</w:t>
      </w:r>
    </w:p>
    <w:p>
      <w:r>
        <w:t>8) Lưu Rating + Rating Details với source snapshot/version.</w:t>
      </w:r>
    </w:p>
    <w:p>
      <w:r>
        <w:t>9) Tổng Expected Cost/Revenue = Base Charges + Applicable Surcharges; không cộng surcharge không applicable.</w:t>
      </w:r>
    </w:p>
    <w:p>
      <w:pPr>
        <w:pStyle w:val="Heading1"/>
      </w:pPr>
      <w:r>
        <w:t>9. Migration / backward compatibility</w:t>
      </w:r>
    </w:p>
    <w:p>
      <w:r>
        <w:t>DEV phải rà các Pricing Rule Components hiện đang đại diện cho surcharge. Không xóa hoặc sửa lịch sử Published Rate Version. Đối với dữ liệu lịch sử: giữ nguyên component/source để các Rating cũ vẫn trace được. Đối với cấu hình đang Draft hoặc surcharge cần tiếp tục dùng, có thể migrate/copy sang Surcharge object mới với mapping source_legacy_component_id. Sau cutover, UI mới không bắt người dùng tạo surcharge dưới Rate Card.</w:t>
      </w:r>
    </w:p>
    <w:p>
      <w:r>
        <w:t>Không migrate tự động mọi component thành surcharge: Base Freight, Base Handling hoặc component thực sự thuộc composite base pricing có thể vẫn là Base Rate component. Migration phải dựa trên classification/mapping có kiểm soát.</w:t>
      </w:r>
    </w:p>
    <w:p>
      <w:pPr>
        <w:pStyle w:val="Heading1"/>
      </w:pPr>
      <w:r>
        <w:t>10. Ví dụ</w:t>
      </w:r>
    </w:p>
    <w:p>
      <w:r>
        <w:t>Bill Air SGN-HAN, Chargeable Weight 100 kg. Rate Card BUY: Base Freight 17.000 VND/kg → 1.700.000 VND. Surcharge độc lập: FSC 2.000/kg → 200.000; SSC 1.000/kg → 100.000; Handling 50.000/Bill → 50.000; DG 300.000/Bill nhưng Bill không DG → không áp. Expected Cost = 2.050.000 VND. Rating Detail phải trace 1 Base Rate source + 3 Surcharge sources.</w:t>
      </w:r>
    </w:p>
    <w:p>
      <w:pPr>
        <w:pStyle w:val="Heading1"/>
      </w:pPr>
      <w:r>
        <w:t>11. Acceptance gate</w:t>
      </w:r>
    </w:p>
    <w:p>
      <w:r>
        <w:t>Không coi hoàn tất nếu DEV chỉ tách menu/UI. Phải tách persistence/versioning/applicability và Rating Engine source resolution. Tất cả Critical/High AC trong workbook đi kèm phải PASS; đặc biệt: surcharge thay đổi không tạo Rate Version mới, optional Rate Card scope, deduplication, historical immutability, FX trace và migration không phá Rating cũ.</w:t>
      </w:r>
    </w:p>
    <w:p>
      <w:pPr>
        <w:pStyle w:val="Heading1"/>
      </w:pPr>
      <w:r>
        <w:t>12. Không thay đổi trong batch này</w:t>
      </w:r>
    </w:p>
    <w:p>
      <w:r>
        <w:t>Không thay đổi Cost/Revenue maturity, AP/AR, Financial Document/Matching, Payment/Collection hoặc Reporting Currency &amp; FX baseline. Các module này tiếp tục nhận Expected Cost/Revenue từ Rating Result như hiện hành.</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 Architecture Change — 05/10/2026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LCMS — Independent Rate Card &amp; Surcharge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