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LCMS — Phản hồi DEV gói RATE-RATING-BASELINE v1.1</w:t>
      </w:r>
    </w:p>
    <w:p>
      <w:r>
        <w:t>Ngày: 16/10/2026. Phạm vi đã làm: D1 mapping danh mục và mã chuẩn, cùng phần hợp đồng hành vi đã nối vào engine hiện hữu.</w:t>
      </w:r>
    </w:p>
    <w:p>
      <w:pPr>
        <w:pStyle w:val="Heading1"/>
      </w:pPr>
      <w:r>
        <w:t>1. Việc đã làm</w:t>
      </w:r>
    </w:p>
    <w:p>
      <w:pPr>
        <w:pStyle w:val="ListBullet"/>
      </w:pPr>
      <w:r>
        <w:t>Không thay engine tính giá, không đổi Bill là mỏ neo tài chính, không sinh Confirmed/Actual/AP/AR từ Rating.</w:t>
      </w:r>
    </w:p>
    <w:p>
      <w:pPr>
        <w:pStyle w:val="ListBullet"/>
      </w:pPr>
      <w:r>
        <w:t>Thêm cờ rate_versions.explicit_charge_groups (mặc định false) và pricing_rules.line_role (nullable). Migration chỉ thêm cột, không UPDATE ratings, không gán charge_code, không sửa phiên bản PUBLISHED.</w:t>
      </w:r>
    </w:p>
    <w:p>
      <w:pPr>
        <w:pStyle w:val="ListBullet"/>
      </w:pPr>
      <w:r>
        <w:t>Phiên bản mới từ form khai báo bật explicit_charge_groups. Rule mới bắt buộc nhóm cạnh tranh và bản chất dòng (cước chính cạnh tranh hoặc khoản cộng thêm). Phụ phí bị chặn và dẫn sang Quản lý phụ phí.</w:t>
      </w:r>
    </w:p>
    <w:p>
      <w:pPr>
        <w:pStyle w:val="ListBullet"/>
      </w:pPr>
      <w:r>
        <w:t>Classifier theo token tên/mã (FUEL, REMOTE, DELIVERY...) chỉ còn áp dụng cho phiên bản chưa bật cờ. Rule tên FUEL nhưng line_role = base_rate vẫn là cước chính.</w:t>
      </w:r>
    </w:p>
    <w:p>
      <w:pPr>
        <w:pStyle w:val="ListBullet"/>
      </w:pPr>
      <w:r>
        <w:t>Mã rule basic trống được cấp QT0001, QT0002... và giữ nguyên nếu client gửi lại. Tên được gợi ý từ nhóm + tuyến + nấc, không dùng để phân loại.</w:t>
      </w:r>
    </w:p>
    <w:p>
      <w:pPr>
        <w:pStyle w:val="ListBullet"/>
      </w:pPr>
      <w:r>
        <w:t>Dropdown dịch vụ/phương thức đọc danh mục. AIR trong service_type không còn là lựa chọn mới. WATER và EXPRESS không map sang SEA/AIR và bị chặn khi tạo mới.</w:t>
      </w:r>
    </w:p>
    <w:p>
      <w:pPr>
        <w:pStyle w:val="ListBullet"/>
      </w:pPr>
      <w:r>
        <w:t>Tuyến có mode ràng buộc thì chặn phương thức mâu thuẫn. Tất cả tuyến không ép mode. Gợi ý bảng giá bỏ qua route/mode legacy ở header khi rule đã mang điều kiện riêng.</w:t>
      </w:r>
    </w:p>
    <w:p>
      <w:pPr>
        <w:pStyle w:val="ListBullet"/>
      </w:pPr>
      <w:r>
        <w:t>Publish phiên bản explicit: BUY cần supplier và cost_type; SELL cần revenue_type. Draft được lưu kèm cảnh báo nếu thiếu phân loại.</w:t>
      </w:r>
    </w:p>
    <w:p>
      <w:pPr>
        <w:pStyle w:val="ListBullet"/>
      </w:pPr>
      <w:r>
        <w:t>Rating chỉ gắn economic_charge_type_id khi có dòng charge_type_mappings. Không còn khớp mã catalog để bịa id. Thiếu mapping thì context ghi Chưa phân loại kinh tế.</w:t>
      </w:r>
    </w:p>
    <w:p>
      <w:pPr>
        <w:pStyle w:val="ListBullet"/>
      </w:pPr>
      <w:r>
        <w:t>Nấc basic giữ [min, max). Ma trận advanced giữ cận trên inclusive. Mã ma trận quá 64 ký tự hoặc trùng thì chặn, không cắt cụt.</w:t>
      </w:r>
    </w:p>
    <w:p>
      <w:pPr>
        <w:pStyle w:val="Heading1"/>
      </w:pPr>
      <w:r>
        <w:t>2. D1 — Bảng mapping danh mục và mã canonical</w:t>
      </w:r>
    </w:p>
    <w:p>
      <w:r>
        <w:t>Nguồn: master_catalog_items (service_type, transport_mode), bảng routes, commodity_types. Giá trị lưu trong pricing_rules.transport_mode vẫn là chữ thường để khớp dữ liệu đã có.</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Chiều</w:t>
            </w:r>
          </w:p>
        </w:tc>
        <w:tc>
          <w:tcPr>
            <w:tcW w:type="dxa" w:w="2160"/>
          </w:tcPr>
          <w:p>
            <w:r>
              <w:t>Mã</w:t>
            </w:r>
          </w:p>
        </w:tc>
        <w:tc>
          <w:tcPr>
            <w:tcW w:type="dxa" w:w="2160"/>
          </w:tcPr>
          <w:p>
            <w:r>
              <w:t>Cách xử lý</w:t>
            </w:r>
          </w:p>
        </w:tc>
        <w:tc>
          <w:tcPr>
            <w:tcW w:type="dxa" w:w="2160"/>
          </w:tcPr>
          <w:p>
            <w:r>
              <w:t>Nhãn người dùng</w:t>
            </w:r>
          </w:p>
        </w:tc>
      </w:tr>
      <w:tr>
        <w:tc>
          <w:tcPr>
            <w:tcW w:type="dxa" w:w="2160"/>
          </w:tcPr>
          <w:p>
            <w:r>
              <w:t>Loại dịch vụ</w:t>
            </w:r>
          </w:p>
        </w:tc>
        <w:tc>
          <w:tcPr>
            <w:tcW w:type="dxa" w:w="2160"/>
          </w:tcPr>
          <w:p>
            <w:r>
              <w:t>FREIGHT</w:t>
            </w:r>
          </w:p>
        </w:tc>
        <w:tc>
          <w:tcPr>
            <w:tcW w:type="dxa" w:w="2160"/>
          </w:tcPr>
          <w:p>
            <w:r>
              <w:t>Giữ là dịch vụ vận tải hiện hữu. Không đồng nhất với cost_type FREIGHT.</w:t>
            </w:r>
          </w:p>
        </w:tc>
        <w:tc>
          <w:tcPr>
            <w:tcW w:type="dxa" w:w="2160"/>
          </w:tcPr>
          <w:p>
            <w:r>
              <w:t>Tên trong danh mục; nếu tên trùng mã thì Vận tải</w:t>
            </w:r>
          </w:p>
        </w:tc>
      </w:tr>
      <w:tr>
        <w:tc>
          <w:tcPr>
            <w:tcW w:type="dxa" w:w="2160"/>
          </w:tcPr>
          <w:p>
            <w:r>
              <w:t>Loại dịch vụ</w:t>
            </w:r>
          </w:p>
        </w:tc>
        <w:tc>
          <w:tcPr>
            <w:tcW w:type="dxa" w:w="2160"/>
          </w:tcPr>
          <w:p>
            <w:r>
              <w:t>AIR</w:t>
            </w:r>
          </w:p>
        </w:tc>
        <w:tc>
          <w:tcPr>
            <w:tcW w:type="dxa" w:w="2160"/>
          </w:tcPr>
          <w:p>
            <w:r>
              <w:t>Ẩn khỏi lựa chọn mới sau khi rà logic tham chiếu. Không xóa master. Rule cũ vẫn đọc được.</w:t>
            </w:r>
          </w:p>
        </w:tc>
        <w:tc>
          <w:tcPr>
            <w:tcW w:type="dxa" w:w="2160"/>
          </w:tcPr>
          <w:p>
            <w:r>
              <w:t>Không hiện như lựa chọn mới</w:t>
            </w:r>
          </w:p>
        </w:tc>
      </w:tr>
      <w:tr>
        <w:tc>
          <w:tcPr>
            <w:tcW w:type="dxa" w:w="2160"/>
          </w:tcPr>
          <w:p>
            <w:r>
              <w:t>Phương thức</w:t>
            </w:r>
          </w:p>
        </w:tc>
        <w:tc>
          <w:tcPr>
            <w:tcW w:type="dxa" w:w="2160"/>
          </w:tcPr>
          <w:p>
            <w:r>
              <w:t>AIR ↔ air</w:t>
            </w:r>
          </w:p>
        </w:tc>
        <w:tc>
          <w:tcPr>
            <w:tcW w:type="dxa" w:w="2160"/>
          </w:tcPr>
          <w:p>
            <w:r>
              <w:t>Adapter hai chiều tại ranh giới lưu. So khớp không phân biệt hoa thường.</w:t>
            </w:r>
          </w:p>
        </w:tc>
        <w:tc>
          <w:tcPr>
            <w:tcW w:type="dxa" w:w="2160"/>
          </w:tcPr>
          <w:p>
            <w:r>
              <w:t>Hàng không</w:t>
            </w:r>
          </w:p>
        </w:tc>
      </w:tr>
      <w:tr>
        <w:tc>
          <w:tcPr>
            <w:tcW w:type="dxa" w:w="2160"/>
          </w:tcPr>
          <w:p>
            <w:r>
              <w:t>Phương thức</w:t>
            </w:r>
          </w:p>
        </w:tc>
        <w:tc>
          <w:tcPr>
            <w:tcW w:type="dxa" w:w="2160"/>
          </w:tcPr>
          <w:p>
            <w:r>
              <w:t>SEA ↔ sea</w:t>
            </w:r>
          </w:p>
        </w:tc>
        <w:tc>
          <w:tcPr>
            <w:tcW w:type="dxa" w:w="2160"/>
          </w:tcPr>
          <w:p>
            <w:r>
              <w:t>Adapter hai chiều. Không nhận WATER.</w:t>
            </w:r>
          </w:p>
        </w:tc>
        <w:tc>
          <w:tcPr>
            <w:tcW w:type="dxa" w:w="2160"/>
          </w:tcPr>
          <w:p>
            <w:r>
              <w:t>Đường biển</w:t>
            </w:r>
          </w:p>
        </w:tc>
      </w:tr>
      <w:tr>
        <w:tc>
          <w:tcPr>
            <w:tcW w:type="dxa" w:w="2160"/>
          </w:tcPr>
          <w:p>
            <w:r>
              <w:t>Phương thức</w:t>
            </w:r>
          </w:p>
        </w:tc>
        <w:tc>
          <w:tcPr>
            <w:tcW w:type="dxa" w:w="2160"/>
          </w:tcPr>
          <w:p>
            <w:r>
              <w:t>ROAD ↔ road</w:t>
            </w:r>
          </w:p>
        </w:tc>
        <w:tc>
          <w:tcPr>
            <w:tcW w:type="dxa" w:w="2160"/>
          </w:tcPr>
          <w:p>
            <w:r>
              <w:t>Adapter hai chiều.</w:t>
            </w:r>
          </w:p>
        </w:tc>
        <w:tc>
          <w:tcPr>
            <w:tcW w:type="dxa" w:w="2160"/>
          </w:tcPr>
          <w:p>
            <w:r>
              <w:t>Đường bộ</w:t>
            </w:r>
          </w:p>
        </w:tc>
      </w:tr>
      <w:tr>
        <w:tc>
          <w:tcPr>
            <w:tcW w:type="dxa" w:w="2160"/>
          </w:tcPr>
          <w:p>
            <w:r>
              <w:t>Phương thức</w:t>
            </w:r>
          </w:p>
        </w:tc>
        <w:tc>
          <w:tcPr>
            <w:tcW w:type="dxa" w:w="2160"/>
          </w:tcPr>
          <w:p>
            <w:r>
              <w:t>RAIL ↔ rail</w:t>
            </w:r>
          </w:p>
        </w:tc>
        <w:tc>
          <w:tcPr>
            <w:tcW w:type="dxa" w:w="2160"/>
          </w:tcPr>
          <w:p>
            <w:r>
              <w:t>Adapter hai chiều.</w:t>
            </w:r>
          </w:p>
        </w:tc>
        <w:tc>
          <w:tcPr>
            <w:tcW w:type="dxa" w:w="2160"/>
          </w:tcPr>
          <w:p>
            <w:r>
              <w:t>Đường sắt</w:t>
            </w:r>
          </w:p>
        </w:tc>
      </w:tr>
      <w:tr>
        <w:tc>
          <w:tcPr>
            <w:tcW w:type="dxa" w:w="2160"/>
          </w:tcPr>
          <w:p>
            <w:r>
              <w:t>Phương thức</w:t>
            </w:r>
          </w:p>
        </w:tc>
        <w:tc>
          <w:tcPr>
            <w:tcW w:type="dxa" w:w="2160"/>
          </w:tcPr>
          <w:p>
            <w:r>
              <w:t>EXPRESS</w:t>
            </w:r>
          </w:p>
        </w:tc>
        <w:tc>
          <w:tcPr>
            <w:tcW w:type="dxa" w:w="2160"/>
          </w:tcPr>
          <w:p>
            <w:r>
              <w:t>Giữ mã express. Không đổi thành air. Chặn chọn mới vì trọng lượng tính cước vẫn dùng quy tắc thể tích hàng không AIR_VOLUMETRIC_167.</w:t>
            </w:r>
          </w:p>
        </w:tc>
        <w:tc>
          <w:tcPr>
            <w:tcW w:type="dxa" w:w="2160"/>
          </w:tcPr>
          <w:p>
            <w:r>
              <w:t>Chuyển phát nhanh — chưa chọn mới</w:t>
            </w:r>
          </w:p>
        </w:tc>
      </w:tr>
      <w:tr>
        <w:tc>
          <w:tcPr>
            <w:tcW w:type="dxa" w:w="2160"/>
          </w:tcPr>
          <w:p>
            <w:r>
              <w:t>Phương thức</w:t>
            </w:r>
          </w:p>
        </w:tc>
        <w:tc>
          <w:tcPr>
            <w:tcW w:type="dxa" w:w="2160"/>
          </w:tcPr>
          <w:p>
            <w:r>
              <w:t>WATER</w:t>
            </w:r>
          </w:p>
        </w:tc>
        <w:tc>
          <w:tcPr>
            <w:tcW w:type="dxa" w:w="2160"/>
          </w:tcPr>
          <w:p>
            <w:r>
              <w:t>Giữ mã water. Không đổi thành sea. Không có trong master nên chỉ đọc dữ liệu cũ, chặn tạo mới.</w:t>
            </w:r>
          </w:p>
        </w:tc>
        <w:tc>
          <w:tcPr>
            <w:tcW w:type="dxa" w:w="2160"/>
          </w:tcPr>
          <w:p>
            <w:r>
              <w:t>Đường thủy (dữ liệu cũ)</w:t>
            </w:r>
          </w:p>
        </w:tc>
      </w:tr>
      <w:tr>
        <w:tc>
          <w:tcPr>
            <w:tcW w:type="dxa" w:w="2160"/>
          </w:tcPr>
          <w:p>
            <w:r>
              <w:t>Tuyến</w:t>
            </w:r>
          </w:p>
        </w:tc>
        <w:tc>
          <w:tcPr>
            <w:tcW w:type="dxa" w:w="2160"/>
          </w:tcPr>
          <w:p>
            <w:r>
              <w:t>routes</w:t>
            </w:r>
          </w:p>
        </w:tc>
        <w:tc>
          <w:tcPr>
            <w:tcW w:type="dxa" w:w="2160"/>
          </w:tcPr>
          <w:p>
            <w:r>
              <w:t>Dropdown chỉ lấy routes đang active, ví dụ SGN-FRA. Không trộn 120 VOL-RTE từ master transport_route.</w:t>
            </w:r>
          </w:p>
        </w:tc>
        <w:tc>
          <w:tcPr>
            <w:tcW w:type="dxa" w:w="2160"/>
          </w:tcPr>
          <w:p>
            <w:r>
              <w:t>Mã tuyến và chiều đi</w:t>
            </w:r>
          </w:p>
        </w:tc>
      </w:tr>
      <w:tr>
        <w:tc>
          <w:tcPr>
            <w:tcW w:type="dxa" w:w="2160"/>
          </w:tcPr>
          <w:p>
            <w:r>
              <w:t>Tuyến</w:t>
            </w:r>
          </w:p>
        </w:tc>
        <w:tc>
          <w:tcPr>
            <w:tcW w:type="dxa" w:w="2160"/>
          </w:tcPr>
          <w:p>
            <w:r>
              <w:t>appliesAnyRoute</w:t>
            </w:r>
          </w:p>
        </w:tc>
        <w:tc>
          <w:tcPr>
            <w:tcW w:type="dxa" w:w="2160"/>
          </w:tcPr>
          <w:p>
            <w:r>
              <w:t>Lựa chọn tường minh Tất cả tuyến. Ô trống không được hiểu là mọi tuyến.</w:t>
            </w:r>
          </w:p>
        </w:tc>
        <w:tc>
          <w:tcPr>
            <w:tcW w:type="dxa" w:w="2160"/>
          </w:tcPr>
          <w:p>
            <w:r>
              <w:t>Tất cả tuyến</w:t>
            </w:r>
          </w:p>
        </w:tc>
      </w:tr>
      <w:tr>
        <w:tc>
          <w:tcPr>
            <w:tcW w:type="dxa" w:w="2160"/>
          </w:tcPr>
          <w:p>
            <w:r>
              <w:t>Tương thích</w:t>
            </w:r>
          </w:p>
        </w:tc>
        <w:tc>
          <w:tcPr>
            <w:tcW w:type="dxa" w:w="2160"/>
          </w:tcPr>
          <w:p>
            <w:r>
              <w:t>SGN-FRA + ROAD</w:t>
            </w:r>
          </w:p>
        </w:tc>
        <w:tc>
          <w:tcPr>
            <w:tcW w:type="dxa" w:w="2160"/>
          </w:tcPr>
          <w:p>
            <w:r>
              <w:t>Nếu tuyến có transport_mode_code = air thì chọn ROAD bị chặn khi lưu.</w:t>
            </w:r>
          </w:p>
        </w:tc>
        <w:tc>
          <w:tcPr>
            <w:tcW w:type="dxa" w:w="2160"/>
          </w:tcPr>
          <w:p>
            <w:r>
              <w:t>Thông báo không khớp tuyến</w:t>
            </w:r>
          </w:p>
        </w:tc>
      </w:tr>
    </w:tbl>
    <w:p>
      <w:pPr>
        <w:pStyle w:val="Heading1"/>
      </w:pPr>
      <w:r>
        <w:t>3. Quyết định BA đã khóa — cách code thực hiện</w:t>
      </w:r>
    </w:p>
    <w:p>
      <w:pPr>
        <w:pStyle w:val="ListBullet"/>
      </w:pPr>
      <w:r>
        <w:t>DEC-01: Mã basic do server cấp khi trống, không tái sinh theo vị trí hay theo tên. UI không còn ô nhập mã. Tên gợi ý được sửa được, không điều khiển engine.</w:t>
      </w:r>
    </w:p>
    <w:p>
      <w:pPr>
        <w:pStyle w:val="ListBullet"/>
      </w:pPr>
      <w:r>
        <w:t>DEC-02: Form bắt chọn bản chất dòng. charge_code trống bị chặn trên phiên bản explicit. Phụ phí không tạo như base rule. Advanced vẫn nhóm FREIGHT và chặn hai nhóm cùng tuyến/mode/hãng/loại hàng.</w:t>
      </w:r>
    </w:p>
    <w:p>
      <w:pPr>
        <w:pStyle w:val="ListBullet"/>
      </w:pPr>
      <w:r>
        <w:t>DEC-03: Draft cảnh báo thiếu loại chi phí/doanh thu. Publish phiên bản explicit thì bắt buộc. Không seed khoản mục kinh tế giả. Màn Khoản mục kinh tế sẵn có tại /rate-cards/charge-types.</w:t>
      </w:r>
    </w:p>
    <w:p>
      <w:pPr>
        <w:pStyle w:val="ListBullet"/>
      </w:pPr>
      <w:r>
        <w:t>DEC-04: Service, mode, route tách bạch như bảng D1. EXPRESS chưa bật vì ngữ cảnh trọng lượng chưa tách khỏi hàng không.</w:t>
      </w:r>
    </w:p>
    <w:p>
      <w:pPr>
        <w:pStyle w:val="ListBullet"/>
      </w:pPr>
      <w:r>
        <w:t>DEC-05: Không sửa 5 rule NSE đã published và không tự tạo phụ phí trên dữ liệu vận hành. Có bộ đối chiếu dry-run: liệt kê rule REMOTE/DELIVERY, cộng sau cước chính, không nhân đôi, không đổi số tiền nguồn.</w:t>
      </w:r>
    </w:p>
    <w:p>
      <w:pPr>
        <w:pStyle w:val="Heading1"/>
      </w:pPr>
      <w:r>
        <w:t>4. Kiểm thử đã chạy</w:t>
      </w:r>
    </w:p>
    <w:p>
      <w:r>
        <w:t>RateRatingBaselineTests và BillRateSuggestionTests: 28 passed. Vitest rate-field-policy và RateCardDeclarationForm: 15 passed. Các ca phủ UAT-01, 02, 04, 06, 07, 08, 09, 10 (dry-run), 11, 12, 13, 15 (điều kiện publish), 16, 18 (hàm không ghi đè 350/500 USD).</w:t>
      </w:r>
    </w:p>
    <w:p>
      <w:r>
        <w:t>Migration 20261016091917_RateExplicitChargeGroups chỉ AddColumn explicit_charge_groups default false và line_role nullable. Down chỉ DropColumn. Không có lệnh UPDATE ratings hay pricing_rules.charge_code.</w:t>
      </w:r>
    </w:p>
    <w:p>
      <w:pPr>
        <w:pStyle w:val="Heading1"/>
      </w:pPr>
      <w:r>
        <w:t>5. Phần chưa đủ để nhận 100/100 trên dữ liệu vận hành</w:t>
      </w:r>
    </w:p>
    <w:p>
      <w:pPr>
        <w:pStyle w:val="ListBullet"/>
      </w:pPr>
      <w:r>
        <w:t>Chưa đối chiếu trực tiếp 5 rule NSE và bill BILL26107473 trên PostgreSQL tenant ops trong phiên này. Bảo toàn là do migration không ghi vào các bảng đó, chưa phải một truy vấn trước/sau trên dữ liệu thật.</w:t>
      </w:r>
    </w:p>
    <w:p>
      <w:pPr>
        <w:pStyle w:val="ListBullet"/>
      </w:pPr>
      <w:r>
        <w:t>UAT-03, 05, 14, 17 dựa trên hành vi engine và quyền đã có (Leg quantity, supplier, rate.buy.write/rate.sell.write). Chưa thêm ca API mới cho từng mã trong lần chạy này.</w:t>
      </w:r>
    </w:p>
    <w:p>
      <w:pPr>
        <w:pStyle w:val="ListBullet"/>
      </w:pPr>
      <w:r>
        <w:t>Import rate card hiện không mang service/mode/route trên rule nên không có đường ghi các mã bị cấm đó. Import chưa chuyển sang hợp đồng explicit.</w:t>
      </w:r>
    </w:p>
    <w:p>
      <w:pPr>
        <w:pStyle w:val="ListBullet"/>
      </w:pPr>
      <w:r>
        <w:t>Chưa chụp màn hình basic/advanced sau thay đổi form. Vitest xác nhận nhãn, dropdown và payload, không thay cho kiểm tra trên trình duyệt đang chạy.</w:t>
      </w:r>
    </w:p>
    <w:p>
      <w:pPr>
        <w:pStyle w:val="ListBullet"/>
      </w:pPr>
      <w:r>
        <w:t>EXPRESS tiếp tục bị chặn cho đến khi trọng lượng tính cước có quy tắc riêng, không dùng AIR_VOLUMETRIC_167.</w:t>
      </w:r>
    </w:p>
    <w:p>
      <w:r>
        <w:t>Kết luận: hợp đồng mã chuẩn và nhóm cạnh tranh đã vào code và có test tự động. Nghiệm thu đủ 18 UAT trên dữ liệu vận hành vẫn cần một lượt chạy trên tenant ops cùng ảnh màn hình.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