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LOGISTICS COST MANAGEMENT SYSTEM (LCMS)</w:t>
      </w:r>
    </w:p>
    <w:p>
      <w:pPr>
        <w:jc w:val="center"/>
      </w:pPr>
      <w:r>
        <w:rPr>
          <w:b/>
          <w:sz w:val="40"/>
        </w:rPr>
        <w:t>CHECKPOINT 4 — FINANCIAL CONTROL BLUEPRINT</w:t>
      </w:r>
    </w:p>
    <w:p>
      <w:pPr>
        <w:jc w:val="center"/>
      </w:pPr>
      <w:r>
        <w:rPr>
          <w:i/>
        </w:rPr>
        <w:t>Version 1.0 • BA / Business Architecture Package</w:t>
      </w:r>
    </w:p>
    <w:p>
      <w:pPr>
        <w:pStyle w:val="Heading1"/>
      </w:pPr>
      <w:r>
        <w:t>1. Mục tiêu và phạm vi</w:t>
      </w:r>
    </w:p>
    <w:p>
      <w:r>
        <w:t>Checkpoint 4 định nghĩa lớp Financial Control của LCMS trên nền các domain đã khóa tại Checkpoint 1–3: Cost, Revenue &amp; Profitability, Financial Documents và AP/AR. Mục tiêu là kiểm soát dòng tiền, settlement, reconciliation, variance, exception, workflow, financial close và management control mà không biến LCMS thành hệ thống kế toán tổng hợp.</w:t>
      </w:r>
    </w:p>
    <w:p>
      <w:pPr>
        <w:pStyle w:val="ListBullet"/>
      </w:pPr>
      <w:r>
        <w:t>Payment &amp; Collection; Payment/Collection Allocation.</w:t>
      </w:r>
    </w:p>
    <w:p>
      <w:pPr>
        <w:pStyle w:val="ListBullet"/>
      </w:pPr>
      <w:r>
        <w:t>Cash Flow và Outstanding Control.</w:t>
      </w:r>
    </w:p>
    <w:p>
      <w:pPr>
        <w:pStyle w:val="ListBullet"/>
      </w:pPr>
      <w:r>
        <w:t>Reconciliation Engine và Variance Control.</w:t>
      </w:r>
    </w:p>
    <w:p>
      <w:pPr>
        <w:pStyle w:val="ListBullet"/>
      </w:pPr>
      <w:r>
        <w:t>Exception / Alert và Approval / Workflow.</w:t>
      </w:r>
    </w:p>
    <w:p>
      <w:pPr>
        <w:pStyle w:val="ListBullet"/>
      </w:pPr>
      <w:r>
        <w:t>Financial Close, Reopen và Post-Close Adjustment.</w:t>
      </w:r>
    </w:p>
    <w:p>
      <w:pPr>
        <w:pStyle w:val="ListBullet"/>
      </w:pPr>
      <w:r>
        <w:t>Budget / Forecast và Management Control.</w:t>
      </w:r>
    </w:p>
    <w:p>
      <w:pPr>
        <w:pStyle w:val="Heading1"/>
      </w:pPr>
      <w:r>
        <w:t>2. Nguyên tắc kiến trúc khóa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top"/>
          </w:tcPr>
          <w:p>
            <w:r>
              <w:t>FC-P01</w:t>
            </w:r>
          </w:p>
        </w:tc>
        <w:tc>
          <w:tcPr>
            <w:tcW w:type="dxa" w:w="3408"/>
            <w:vAlign w:val="top"/>
          </w:tcPr>
          <w:p>
            <w:r>
              <w:t>Separation of economic fact and settlement</w:t>
            </w:r>
          </w:p>
        </w:tc>
        <w:tc>
          <w:tcPr>
            <w:tcW w:type="dxa" w:w="3408"/>
            <w:vAlign w:val="top"/>
          </w:tcPr>
          <w:p>
            <w:r>
              <w:t>Cost/Revenue không đồng nhất với Payment/Collection; AP/AR là lớp recognition; settlement là lớp riêng.</w:t>
            </w:r>
          </w:p>
        </w:tc>
      </w:tr>
      <w:tr>
        <w:tc>
          <w:tcPr>
            <w:tcW w:type="dxa" w:w="3408"/>
            <w:vAlign w:val="top"/>
          </w:tcPr>
          <w:p>
            <w:r>
              <w:t>FC-P02</w:t>
            </w:r>
          </w:p>
        </w:tc>
        <w:tc>
          <w:tcPr>
            <w:tcW w:type="dxa" w:w="3408"/>
            <w:vAlign w:val="top"/>
          </w:tcPr>
          <w:p>
            <w:r>
              <w:t>Settlement Allocation</w:t>
            </w:r>
          </w:p>
        </w:tc>
        <w:tc>
          <w:tcPr>
            <w:tcW w:type="dxa" w:w="3408"/>
            <w:vAlign w:val="top"/>
          </w:tcPr>
          <w:p>
            <w:r>
              <w:t>Một Payment/Collection có thể phân bổ N:N vào AP/AR items bằng Allocation Detail và matched amount.</w:t>
            </w:r>
          </w:p>
        </w:tc>
      </w:tr>
      <w:tr>
        <w:tc>
          <w:tcPr>
            <w:tcW w:type="dxa" w:w="3408"/>
            <w:vAlign w:val="top"/>
          </w:tcPr>
          <w:p>
            <w:r>
              <w:t>FC-P03</w:t>
            </w:r>
          </w:p>
        </w:tc>
        <w:tc>
          <w:tcPr>
            <w:tcW w:type="dxa" w:w="3408"/>
            <w:vAlign w:val="top"/>
          </w:tcPr>
          <w:p>
            <w:r>
              <w:t>No silent settlement</w:t>
            </w:r>
          </w:p>
        </w:tc>
        <w:tc>
          <w:tcPr>
            <w:tcW w:type="dxa" w:w="3408"/>
            <w:vAlign w:val="top"/>
          </w:tcPr>
          <w:p>
            <w:r>
              <w:t>Không tự đánh dấu Paid/Collected chỉ vì có giao dịch tiền; phải qua matching/allocation hợp lệ.</w:t>
            </w:r>
          </w:p>
        </w:tc>
      </w:tr>
      <w:tr>
        <w:tc>
          <w:tcPr>
            <w:tcW w:type="dxa" w:w="3408"/>
            <w:vAlign w:val="top"/>
          </w:tcPr>
          <w:p>
            <w:r>
              <w:t>FC-P04</w:t>
            </w:r>
          </w:p>
        </w:tc>
        <w:tc>
          <w:tcPr>
            <w:tcW w:type="dxa" w:w="3408"/>
            <w:vAlign w:val="top"/>
          </w:tcPr>
          <w:p>
            <w:r>
              <w:t>Single Economic Reality</w:t>
            </w:r>
          </w:p>
        </w:tc>
        <w:tc>
          <w:tcPr>
            <w:tcW w:type="dxa" w:w="3408"/>
            <w:vAlign w:val="top"/>
          </w:tcPr>
          <w:p>
            <w:r>
              <w:t>Payment, document, ERP/API và AP/AR không được tạo duplicate economic Cost/Revenue.</w:t>
            </w:r>
          </w:p>
        </w:tc>
      </w:tr>
      <w:tr>
        <w:tc>
          <w:tcPr>
            <w:tcW w:type="dxa" w:w="3408"/>
            <w:vAlign w:val="top"/>
          </w:tcPr>
          <w:p>
            <w:r>
              <w:t>FC-P05</w:t>
            </w:r>
          </w:p>
        </w:tc>
        <w:tc>
          <w:tcPr>
            <w:tcW w:type="dxa" w:w="3408"/>
            <w:vAlign w:val="top"/>
          </w:tcPr>
          <w:p>
            <w:r>
              <w:t>Reconciliation is a control layer</w:t>
            </w:r>
          </w:p>
        </w:tc>
        <w:tc>
          <w:tcPr>
            <w:tcW w:type="dxa" w:w="3408"/>
            <w:vAlign w:val="top"/>
          </w:tcPr>
          <w:p>
            <w:r>
              <w:t>Matched/Variance/Exception là kết quả kiểm soát, không phải lifecycle duy nhất của Cost/Revenue/AP/AR.</w:t>
            </w:r>
          </w:p>
        </w:tc>
      </w:tr>
      <w:tr>
        <w:tc>
          <w:tcPr>
            <w:tcW w:type="dxa" w:w="3408"/>
            <w:vAlign w:val="top"/>
          </w:tcPr>
          <w:p>
            <w:r>
              <w:t>FC-P06</w:t>
            </w:r>
          </w:p>
        </w:tc>
        <w:tc>
          <w:tcPr>
            <w:tcW w:type="dxa" w:w="3408"/>
            <w:vAlign w:val="top"/>
          </w:tcPr>
          <w:p>
            <w:r>
              <w:t>Variance ≠ Exception</w:t>
            </w:r>
          </w:p>
        </w:tc>
        <w:tc>
          <w:tcPr>
            <w:tcW w:type="dxa" w:w="3408"/>
            <w:vAlign w:val="top"/>
          </w:tcPr>
          <w:p>
            <w:r>
              <w:t>Variance là chênh lệch; chỉ trở thành Exception khi rule/threshold/policy kích hoạt.</w:t>
            </w:r>
          </w:p>
        </w:tc>
      </w:tr>
      <w:tr>
        <w:tc>
          <w:tcPr>
            <w:tcW w:type="dxa" w:w="3408"/>
            <w:vAlign w:val="top"/>
          </w:tcPr>
          <w:p>
            <w:r>
              <w:t>FC-P07</w:t>
            </w:r>
          </w:p>
        </w:tc>
        <w:tc>
          <w:tcPr>
            <w:tcW w:type="dxa" w:w="3408"/>
            <w:vAlign w:val="top"/>
          </w:tcPr>
          <w:p>
            <w:r>
              <w:t>Immutable close history</w:t>
            </w:r>
          </w:p>
        </w:tc>
        <w:tc>
          <w:tcPr>
            <w:tcW w:type="dxa" w:w="3408"/>
            <w:vAlign w:val="top"/>
          </w:tcPr>
          <w:p>
            <w:r>
              <w:t>Close snapshot bất biến; reopen/reclose tạo lịch sử mới; post-close change qua Adjustment/Reversal.</w:t>
            </w:r>
          </w:p>
        </w:tc>
      </w:tr>
      <w:tr>
        <w:tc>
          <w:tcPr>
            <w:tcW w:type="dxa" w:w="3408"/>
            <w:vAlign w:val="top"/>
          </w:tcPr>
          <w:p>
            <w:r>
              <w:t>FC-P08</w:t>
            </w:r>
          </w:p>
        </w:tc>
        <w:tc>
          <w:tcPr>
            <w:tcW w:type="dxa" w:w="3408"/>
            <w:vAlign w:val="top"/>
          </w:tcPr>
          <w:p>
            <w:r>
              <w:t>Configurable control policies</w:t>
            </w:r>
          </w:p>
        </w:tc>
        <w:tc>
          <w:tcPr>
            <w:tcW w:type="dxa" w:w="3408"/>
            <w:vAlign w:val="top"/>
          </w:tcPr>
          <w:p>
            <w:r>
              <w:t>Threshold, approval, reconciliation tolerance, close policy, alert policy và budget scope cấu hình theo tenant.</w:t>
            </w:r>
          </w:p>
        </w:tc>
      </w:tr>
    </w:tbl>
    <w:p>
      <w:pPr>
        <w:pStyle w:val="Heading1"/>
      </w:pPr>
      <w:r>
        <w:t>3. Financial Control Model</w:t>
      </w:r>
    </w:p>
    <w:p>
      <w:r>
        <w:t>Financial Exposure</w:t>
        <w:br/>
        <w:t xml:space="preserve">      ↓</w:t>
        <w:br/>
        <w:t>Recognized AP / AR</w:t>
        <w:br/>
        <w:t xml:space="preserve">      ↓</w:t>
        <w:br/>
        <w:t>Payment / Collection</w:t>
        <w:br/>
        <w:t xml:space="preserve">      ↓</w:t>
        <w:br/>
        <w:t>Settlement Allocation</w:t>
        <w:br/>
        <w:t xml:space="preserve">      ↓</w:t>
        <w:br/>
        <w:t>Outstanding Position</w:t>
        <w:br/>
        <w:t xml:space="preserve">      ↓</w:t>
        <w:br/>
        <w:t>Reconciliation</w:t>
        <w:br/>
        <w:t xml:space="preserve">      ↓</w:t>
        <w:br/>
        <w:t>Variance</w:t>
        <w:br/>
        <w:t xml:space="preserve">      ↓</w:t>
        <w:br/>
        <w:t>Exception / Approval</w:t>
        <w:br/>
        <w:t xml:space="preserve">      ↓</w:t>
        <w:br/>
        <w:t>Financial Close / Management Control</w:t>
      </w:r>
    </w:p>
    <w:p>
      <w:pPr>
        <w:pStyle w:val="Heading1"/>
      </w:pPr>
      <w:r>
        <w:t>4. Payment &amp;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Định nghĩa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Các thuộc tính kiểm soát chính</w:t>
            </w:r>
          </w:p>
        </w:tc>
      </w:tr>
      <w:tr>
        <w:tc>
          <w:tcPr>
            <w:tcW w:type="dxa" w:w="3408"/>
            <w:vAlign w:val="top"/>
          </w:tcPr>
          <w:p>
            <w:r>
              <w:t>Payment</w:t>
            </w:r>
          </w:p>
        </w:tc>
        <w:tc>
          <w:tcPr>
            <w:tcW w:type="dxa" w:w="3408"/>
            <w:vAlign w:val="top"/>
          </w:tcPr>
          <w:p>
            <w:r>
              <w:t>Giao dịch tiền ra dùng để settlement Payable/AP.</w:t>
            </w:r>
          </w:p>
        </w:tc>
        <w:tc>
          <w:tcPr>
            <w:tcW w:type="dxa" w:w="3408"/>
            <w:vAlign w:val="top"/>
          </w:tcPr>
          <w:p>
            <w:r>
              <w:t>Payment No., date/value date, payer/payee, amount, currency, bank/cash reference, source, status, unapplied amount.</w:t>
            </w:r>
          </w:p>
        </w:tc>
      </w:tr>
      <w:tr>
        <w:tc>
          <w:tcPr>
            <w:tcW w:type="dxa" w:w="3408"/>
            <w:vAlign w:val="top"/>
          </w:tcPr>
          <w:p>
            <w:r>
              <w:t>Collection</w:t>
            </w:r>
          </w:p>
        </w:tc>
        <w:tc>
          <w:tcPr>
            <w:tcW w:type="dxa" w:w="3408"/>
            <w:vAlign w:val="top"/>
          </w:tcPr>
          <w:p>
            <w:r>
              <w:t>Giao dịch tiền vào dùng để settlement Receivable/AR.</w:t>
            </w:r>
          </w:p>
        </w:tc>
        <w:tc>
          <w:tcPr>
            <w:tcW w:type="dxa" w:w="3408"/>
            <w:vAlign w:val="top"/>
          </w:tcPr>
          <w:p>
            <w:r>
              <w:t>Collection No., date/value date, payer/receiver, amount, currency, bank/cash reference, source, status, unapplied amount.</w:t>
            </w:r>
          </w:p>
        </w:tc>
      </w:tr>
      <w:tr>
        <w:tc>
          <w:tcPr>
            <w:tcW w:type="dxa" w:w="3408"/>
            <w:vAlign w:val="top"/>
          </w:tcPr>
          <w:p>
            <w:r>
              <w:t>Settlement Allocation</w:t>
            </w:r>
          </w:p>
        </w:tc>
        <w:tc>
          <w:tcPr>
            <w:tcW w:type="dxa" w:w="3408"/>
            <w:vAlign w:val="top"/>
          </w:tcPr>
          <w:p>
            <w:r>
              <w:t>Chi tiết phân bổ Payment/Collection vào AP/AR item.</w:t>
            </w:r>
          </w:p>
        </w:tc>
        <w:tc>
          <w:tcPr>
            <w:tcW w:type="dxa" w:w="3408"/>
            <w:vAlign w:val="top"/>
          </w:tcPr>
          <w:p>
            <w:r>
              <w:t>Settlement ID, AP/AR item, allocated amount, currency/base amount, allocation date, user/rule, status.</w:t>
            </w:r>
          </w:p>
        </w:tc>
      </w:tr>
    </w:tbl>
    <w:p>
      <w:pPr>
        <w:pStyle w:val="ListBullet"/>
      </w:pPr>
      <w:r>
        <w:t>Payment/Collection có thể tồn tại trước khi xác định đầy đủ AP/AR đích; phần chưa phân bổ được quản lý là Unapplied Amount.</w:t>
      </w:r>
    </w:p>
    <w:p>
      <w:pPr>
        <w:pStyle w:val="ListBullet"/>
      </w:pPr>
      <w:r>
        <w:t>Partial settlement là hành vi chuẩn: Unpaid/Uncollected → Partially Settled → Settled; Overpaid/Over-collected là control exception.</w:t>
      </w:r>
    </w:p>
    <w:p>
      <w:pPr>
        <w:pStyle w:val="ListBullet"/>
      </w:pPr>
      <w:r>
        <w:t>Không cho tổng Finalized Allocation vượt quá transaction amount hoặc vượt obligation còn mở nếu không có policy cho over-settlement.</w:t>
      </w:r>
    </w:p>
    <w:p>
      <w:pPr>
        <w:pStyle w:val="ListBullet"/>
      </w:pPr>
      <w:r>
        <w:t>Reallocation không sửa im lặng allocation đã finalized; phải reverse/supersede và lưu audit.</w:t>
      </w:r>
    </w:p>
    <w:p>
      <w:pPr>
        <w:pStyle w:val="ListBullet"/>
      </w:pPr>
      <w:r>
        <w:t>Cross-currency settlement phải giữ transaction currency, settlement currency, FX rate/source/date và base-currency equivalent.</w:t>
      </w:r>
    </w:p>
    <w:p>
      <w:pPr>
        <w:pStyle w:val="Heading1"/>
      </w:pPr>
      <w:r>
        <w:t>5. Outstanding &amp; Cash Flow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View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Công thức/ý nghĩa</w:t>
            </w:r>
          </w:p>
        </w:tc>
      </w:tr>
      <w:tr>
        <w:tc>
          <w:tcPr>
            <w:tcW w:type="dxa" w:w="5112"/>
            <w:vAlign w:val="top"/>
          </w:tcPr>
          <w:p>
            <w:r>
              <w:t>Outstanding Recognized AP</w:t>
            </w:r>
          </w:p>
        </w:tc>
        <w:tc>
          <w:tcPr>
            <w:tcW w:type="dxa" w:w="5112"/>
            <w:vAlign w:val="top"/>
          </w:tcPr>
          <w:p>
            <w:r>
              <w:t>Recognized AP − valid Payment Allocations ± adjustments.</w:t>
            </w:r>
          </w:p>
        </w:tc>
      </w:tr>
      <w:tr>
        <w:tc>
          <w:tcPr>
            <w:tcW w:type="dxa" w:w="5112"/>
            <w:vAlign w:val="top"/>
          </w:tcPr>
          <w:p>
            <w:r>
              <w:t>Outstanding Recognized AR</w:t>
            </w:r>
          </w:p>
        </w:tc>
        <w:tc>
          <w:tcPr>
            <w:tcW w:type="dxa" w:w="5112"/>
            <w:vAlign w:val="top"/>
          </w:tcPr>
          <w:p>
            <w:r>
              <w:t>Recognized AR − valid Collection Allocations ± adjustments.</w:t>
            </w:r>
          </w:p>
        </w:tc>
      </w:tr>
      <w:tr>
        <w:tc>
          <w:tcPr>
            <w:tcW w:type="dxa" w:w="5112"/>
            <w:vAlign w:val="top"/>
          </w:tcPr>
          <w:p>
            <w:r>
              <w:t>Remaining Payable Exposure</w:t>
            </w:r>
          </w:p>
        </w:tc>
        <w:tc>
          <w:tcPr>
            <w:tcW w:type="dxa" w:w="5112"/>
            <w:vAlign w:val="top"/>
          </w:tcPr>
          <w:p>
            <w:r>
              <w:t>Payable Exposure − settled/recognized effects theo control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Remaining Receivable Exposure</w:t>
            </w:r>
          </w:p>
        </w:tc>
        <w:tc>
          <w:tcPr>
            <w:tcW w:type="dxa" w:w="5112"/>
            <w:vAlign w:val="top"/>
          </w:tcPr>
          <w:p>
            <w:r>
              <w:t>Receivable Exposure − collected/recognized effects theo control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Unapplied Payment/Collection</w:t>
            </w:r>
          </w:p>
        </w:tc>
        <w:tc>
          <w:tcPr>
            <w:tcW w:type="dxa" w:w="5112"/>
            <w:vAlign w:val="top"/>
          </w:tcPr>
          <w:p>
            <w:r>
              <w:t>Cash transaction amount − finalized settlement allocations.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Cash Flow View</w:t>
            </w:r>
          </w:p>
        </w:tc>
        <w:tc>
          <w:tcPr>
            <w:tcW w:type="dxa" w:w="5112"/>
            <w:vAlign w:val="top"/>
          </w:tcPr>
          <w:p>
            <w:r>
              <w:t>Actual inflow/outflow theo value date; tách khỏi Profitability.</w:t>
            </w:r>
          </w:p>
        </w:tc>
      </w:tr>
    </w:tbl>
    <w:p>
      <w:r>
        <w:t>Aging buckets, due/overdue, counterparty, Bill, branch, service và currency là các chiều phân tích; cấu hình bucket theo tenant.</w:t>
      </w:r>
    </w:p>
    <w:p>
      <w:pPr>
        <w:pStyle w:val="Heading1"/>
      </w:pPr>
      <w:r>
        <w:t>6. Reconciliation Engine</w:t>
      </w:r>
    </w:p>
    <w:p>
      <w:r>
        <w:t>Reconciliation là engine so khớp có traceability, hỗ trợ auto-match, suggested match và manual match.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Reconciliation Type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5112"/>
            <w:vAlign w:val="top"/>
          </w:tcPr>
          <w:p>
            <w:r>
              <w:t>Expected ↔ Actual</w:t>
            </w:r>
          </w:p>
        </w:tc>
        <w:tc>
          <w:tcPr>
            <w:tcW w:type="dxa" w:w="5112"/>
            <w:vAlign w:val="top"/>
          </w:tcPr>
          <w:p>
            <w:r>
              <w:t>Expected Cost/Revenue ↔ Actual Cost/Revenue.</w:t>
            </w:r>
          </w:p>
        </w:tc>
      </w:tr>
      <w:tr>
        <w:tc>
          <w:tcPr>
            <w:tcW w:type="dxa" w:w="5112"/>
            <w:vAlign w:val="top"/>
          </w:tcPr>
          <w:p>
            <w:r>
              <w:t>Document ↔ Transaction</w:t>
            </w:r>
          </w:p>
        </w:tc>
        <w:tc>
          <w:tcPr>
            <w:tcW w:type="dxa" w:w="5112"/>
            <w:vAlign w:val="top"/>
          </w:tcPr>
          <w:p>
            <w:r>
              <w:t>DN/Invoice Detail ↔ Cost/Revenue/AP/AR.</w:t>
            </w:r>
          </w:p>
        </w:tc>
      </w:tr>
      <w:tr>
        <w:tc>
          <w:tcPr>
            <w:tcW w:type="dxa" w:w="5112"/>
            <w:vAlign w:val="top"/>
          </w:tcPr>
          <w:p>
            <w:r>
              <w:t>AP/AR ↔ Settlement</w:t>
            </w:r>
          </w:p>
        </w:tc>
        <w:tc>
          <w:tcPr>
            <w:tcW w:type="dxa" w:w="5112"/>
            <w:vAlign w:val="top"/>
          </w:tcPr>
          <w:p>
            <w:r>
              <w:t>AP ↔ Payment; AR ↔ Collection.</w:t>
            </w:r>
          </w:p>
        </w:tc>
      </w:tr>
      <w:tr>
        <w:tc>
          <w:tcPr>
            <w:tcW w:type="dxa" w:w="5112"/>
            <w:vAlign w:val="top"/>
          </w:tcPr>
          <w:p>
            <w:r>
              <w:t>Bank/Cash ↔ Settlement</w:t>
            </w:r>
          </w:p>
        </w:tc>
        <w:tc>
          <w:tcPr>
            <w:tcW w:type="dxa" w:w="5112"/>
            <w:vAlign w:val="top"/>
          </w:tcPr>
          <w:p>
            <w:r>
              <w:t>Bank transaction/reference ↔ Payment/Collection.</w:t>
            </w:r>
          </w:p>
        </w:tc>
      </w:tr>
      <w:tr>
        <w:tc>
          <w:tcPr>
            <w:tcW w:type="dxa" w:w="5112"/>
            <w:vAlign w:val="top"/>
          </w:tcPr>
          <w:p>
            <w:r>
              <w:t>Operational ↔ Financial</w:t>
            </w:r>
          </w:p>
        </w:tc>
        <w:tc>
          <w:tcPr>
            <w:tcW w:type="dxa" w:w="5112"/>
            <w:vAlign w:val="top"/>
          </w:tcPr>
          <w:p>
            <w:r>
              <w:t>Bill/Shipment/Movement context ↔ financial records.</w:t>
            </w:r>
          </w:p>
        </w:tc>
      </w:tr>
      <w:tr>
        <w:tc>
          <w:tcPr>
            <w:tcW w:type="dxa" w:w="5112"/>
            <w:vAlign w:val="top"/>
          </w:tcPr>
          <w:p>
            <w:r>
              <w:t>ERP/API ↔ LCMS</w:t>
            </w:r>
          </w:p>
        </w:tc>
        <w:tc>
          <w:tcPr>
            <w:tcW w:type="dxa" w:w="5112"/>
            <w:vAlign w:val="top"/>
          </w:tcPr>
          <w:p>
            <w:r>
              <w:t>External financial source ↔ LCMS recognition/control record.</w:t>
            </w:r>
          </w:p>
        </w:tc>
      </w:tr>
    </w:tbl>
    <w:p>
      <w:pPr>
        <w:pStyle w:val="ListBullet"/>
      </w:pPr>
      <w:r>
        <w:t>Matching score/rule có thể dùng amount, currency, counterparty, reference, date tolerance, Bill/Document refs và component/type.</w:t>
      </w:r>
    </w:p>
    <w:p>
      <w:pPr>
        <w:pStyle w:val="ListBullet"/>
      </w:pPr>
      <w:r>
        <w:t>Tolerance và auto-match threshold là configurable; low-confidence match phải review.</w:t>
      </w:r>
    </w:p>
    <w:p>
      <w:pPr>
        <w:pStyle w:val="ListBullet"/>
      </w:pPr>
      <w:r>
        <w:t>N:N matching dùng explicit Matching/Allocation Detail, không dùng một foreign key đơn giản.</w:t>
      </w:r>
    </w:p>
    <w:p>
      <w:pPr>
        <w:pStyle w:val="ListBullet"/>
      </w:pPr>
      <w:r>
        <w:t>Mỗi kết quả lưu rule/version, inputs, matched amount, variance, timestamps, actor và override reason.</w:t>
      </w:r>
    </w:p>
    <w:p>
      <w:pPr>
        <w:pStyle w:val="Heading1"/>
      </w:pPr>
      <w:r>
        <w:t>7. Variance &amp; Exception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Variance examples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Exception examples</w:t>
            </w:r>
          </w:p>
        </w:tc>
      </w:tr>
      <w:tr>
        <w:tc>
          <w:tcPr>
            <w:tcW w:type="dxa" w:w="3408"/>
            <w:vAlign w:val="top"/>
          </w:tcPr>
          <w:p>
            <w:r>
              <w:t>Cost</w:t>
            </w:r>
          </w:p>
        </w:tc>
        <w:tc>
          <w:tcPr>
            <w:tcW w:type="dxa" w:w="3408"/>
            <w:vAlign w:val="top"/>
          </w:tcPr>
          <w:p>
            <w:r>
              <w:t>Expected→Confirmed; Confirmed→Actual; Expected→Actual</w:t>
            </w:r>
          </w:p>
        </w:tc>
        <w:tc>
          <w:tcPr>
            <w:tcW w:type="dxa" w:w="3408"/>
            <w:vAlign w:val="top"/>
          </w:tcPr>
          <w:p>
            <w:r>
              <w:t>Cost above threshold, missing cost, abnormal component, allocation incomplete.</w:t>
            </w:r>
          </w:p>
        </w:tc>
      </w:tr>
      <w:tr>
        <w:tc>
          <w:tcPr>
            <w:tcW w:type="dxa" w:w="3408"/>
            <w:vAlign w:val="top"/>
          </w:tcPr>
          <w:p>
            <w:r>
              <w:t>Revenue</w:t>
            </w:r>
          </w:p>
        </w:tc>
        <w:tc>
          <w:tcPr>
            <w:tcW w:type="dxa" w:w="3408"/>
            <w:vAlign w:val="top"/>
          </w:tcPr>
          <w:p>
            <w:r>
              <w:t>Expected→Confirmed; Confirmed→Actual; Expected→Actual</w:t>
            </w:r>
          </w:p>
        </w:tc>
        <w:tc>
          <w:tcPr>
            <w:tcW w:type="dxa" w:w="3408"/>
            <w:vAlign w:val="top"/>
          </w:tcPr>
          <w:p>
            <w:r>
              <w:t>Revenue below expected, missing billing, source conflict.</w:t>
            </w:r>
          </w:p>
        </w:tc>
      </w:tr>
      <w:tr>
        <w:tc>
          <w:tcPr>
            <w:tcW w:type="dxa" w:w="3408"/>
            <w:vAlign w:val="top"/>
          </w:tcPr>
          <w:p>
            <w:r>
              <w:t>Documents</w:t>
            </w:r>
          </w:p>
        </w:tc>
        <w:tc>
          <w:tcPr>
            <w:tcW w:type="dxa" w:w="3408"/>
            <w:vAlign w:val="top"/>
          </w:tcPr>
          <w:p>
            <w:r>
              <w:t>Document amount ↔ matched transaction</w:t>
            </w:r>
          </w:p>
        </w:tc>
        <w:tc>
          <w:tcPr>
            <w:tcW w:type="dxa" w:w="3408"/>
            <w:vAlign w:val="top"/>
          </w:tcPr>
          <w:p>
            <w:r>
              <w:t>Unmatched/partial/duplicate document, disputed amount.</w:t>
            </w:r>
          </w:p>
        </w:tc>
      </w:tr>
      <w:tr>
        <w:tc>
          <w:tcPr>
            <w:tcW w:type="dxa" w:w="3408"/>
            <w:vAlign w:val="top"/>
          </w:tcPr>
          <w:p>
            <w:r>
              <w:t>AP/AR</w:t>
            </w:r>
          </w:p>
        </w:tc>
        <w:tc>
          <w:tcPr>
            <w:tcW w:type="dxa" w:w="3408"/>
            <w:vAlign w:val="top"/>
          </w:tcPr>
          <w:p>
            <w:r>
              <w:t>Recognized ↔ exposure/document</w:t>
            </w:r>
          </w:p>
        </w:tc>
        <w:tc>
          <w:tcPr>
            <w:tcW w:type="dxa" w:w="3408"/>
            <w:vAlign w:val="top"/>
          </w:tcPr>
          <w:p>
            <w:r>
              <w:t>Unrecognized exposure, overdue AP/AR, duplicate recognition.</w:t>
            </w:r>
          </w:p>
        </w:tc>
      </w:tr>
      <w:tr>
        <w:tc>
          <w:tcPr>
            <w:tcW w:type="dxa" w:w="3408"/>
            <w:vAlign w:val="top"/>
          </w:tcPr>
          <w:p>
            <w:r>
              <w:t>Settlement</w:t>
            </w:r>
          </w:p>
        </w:tc>
        <w:tc>
          <w:tcPr>
            <w:tcW w:type="dxa" w:w="3408"/>
            <w:vAlign w:val="top"/>
          </w:tcPr>
          <w:p>
            <w:r>
              <w:t>AP/AR ↔ payment/collection</w:t>
            </w:r>
          </w:p>
        </w:tc>
        <w:tc>
          <w:tcPr>
            <w:tcW w:type="dxa" w:w="3408"/>
            <w:vAlign w:val="top"/>
          </w:tcPr>
          <w:p>
            <w:r>
              <w:t>Unapplied cash, over-settlement, stale partial settlement.</w:t>
            </w:r>
          </w:p>
        </w:tc>
      </w:tr>
      <w:tr>
        <w:tc>
          <w:tcPr>
            <w:tcW w:type="dxa" w:w="3408"/>
            <w:vAlign w:val="top"/>
          </w:tcPr>
          <w:p>
            <w:r>
              <w:t>Profitability</w:t>
            </w:r>
          </w:p>
        </w:tc>
        <w:tc>
          <w:tcPr>
            <w:tcW w:type="dxa" w:w="3408"/>
            <w:vAlign w:val="top"/>
          </w:tcPr>
          <w:p>
            <w:r>
              <w:t>Expected/Current/Actual profit</w:t>
            </w:r>
          </w:p>
        </w:tc>
        <w:tc>
          <w:tcPr>
            <w:tcW w:type="dxa" w:w="3408"/>
            <w:vAlign w:val="top"/>
          </w:tcPr>
          <w:p>
            <w:r>
              <w:t>Negative/low margin, material deterioration.</w:t>
            </w:r>
          </w:p>
        </w:tc>
      </w:tr>
    </w:tbl>
    <w:p>
      <w:r>
        <w:t>Exception Rule gồm scope, condition, threshold/tolerance, severity, owner/routing, SLA, approval requirement, notification policy và resolution requirement.</w:t>
      </w:r>
    </w:p>
    <w:p>
      <w:pPr>
        <w:pStyle w:val="Heading1"/>
      </w:pPr>
      <w:r>
        <w:t>8. Approval &amp;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Workflow concept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5112"/>
            <w:vAlign w:val="top"/>
          </w:tcPr>
          <w:p>
            <w:r>
              <w:t>Approval Trigger</w:t>
            </w:r>
          </w:p>
        </w:tc>
        <w:tc>
          <w:tcPr>
            <w:tcW w:type="dxa" w:w="5112"/>
            <w:vAlign w:val="top"/>
          </w:tcPr>
          <w:p>
            <w:r>
              <w:t>Theo object/action/value/variance/exception/risk/tenant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Approval State</w:t>
            </w:r>
          </w:p>
        </w:tc>
        <w:tc>
          <w:tcPr>
            <w:tcW w:type="dxa" w:w="5112"/>
            <w:vAlign w:val="top"/>
          </w:tcPr>
          <w:p>
            <w:r>
              <w:t>Not Required / Pending / Approved / Rejected / Cancelled.</w:t>
            </w:r>
          </w:p>
        </w:tc>
      </w:tr>
      <w:tr>
        <w:tc>
          <w:tcPr>
            <w:tcW w:type="dxa" w:w="5112"/>
            <w:vAlign w:val="top"/>
          </w:tcPr>
          <w:p>
            <w:r>
              <w:t>Approval Level</w:t>
            </w:r>
          </w:p>
        </w:tc>
        <w:tc>
          <w:tcPr>
            <w:tcW w:type="dxa" w:w="5112"/>
            <w:vAlign w:val="top"/>
          </w:tcPr>
          <w:p>
            <w:r>
              <w:t>Một hoặc nhiều cấp; role/value threshold configurable.</w:t>
            </w:r>
          </w:p>
        </w:tc>
      </w:tr>
      <w:tr>
        <w:tc>
          <w:tcPr>
            <w:tcW w:type="dxa" w:w="5112"/>
            <w:vAlign w:val="top"/>
          </w:tcPr>
          <w:p>
            <w:r>
              <w:t>Override</w:t>
            </w:r>
          </w:p>
        </w:tc>
        <w:tc>
          <w:tcPr>
            <w:tcW w:type="dxa" w:w="5112"/>
            <w:vAlign w:val="top"/>
          </w:tcPr>
          <w:p>
            <w:r>
              <w:t>Chỉ role có quyền; bắt buộc reason; có audit; có thể yêu cầu approval.</w:t>
            </w:r>
          </w:p>
        </w:tc>
      </w:tr>
      <w:tr>
        <w:tc>
          <w:tcPr>
            <w:tcW w:type="dxa" w:w="5112"/>
            <w:vAlign w:val="top"/>
          </w:tcPr>
          <w:p>
            <w:r>
              <w:t>Escalation</w:t>
            </w:r>
          </w:p>
        </w:tc>
        <w:tc>
          <w:tcPr>
            <w:tcW w:type="dxa" w:w="5112"/>
            <w:vAlign w:val="top"/>
          </w:tcPr>
          <w:p>
            <w:r>
              <w:t>Theo SLA/severity/amount; notification là configurable.</w:t>
            </w:r>
          </w:p>
        </w:tc>
      </w:tr>
      <w:tr>
        <w:tc>
          <w:tcPr>
            <w:tcW w:type="dxa" w:w="5112"/>
            <w:vAlign w:val="top"/>
          </w:tcPr>
          <w:p>
            <w:r>
              <w:t>Segregation of Duties</w:t>
            </w:r>
          </w:p>
        </w:tc>
        <w:tc>
          <w:tcPr>
            <w:tcW w:type="dxa" w:w="5112"/>
            <w:vAlign w:val="top"/>
          </w:tcPr>
          <w:p>
            <w:r>
              <w:t>Có thể cấu hình maker-checker cho hành động tài chính trọng yếu.</w:t>
            </w:r>
          </w:p>
        </w:tc>
      </w:tr>
    </w:tbl>
    <w:p>
      <w:r>
        <w:t>Approval không đồng nghĩa Confirmed, Matched, Recognized, Paid/Collected hoặc Closed.</w:t>
      </w:r>
    </w:p>
    <w:p>
      <w:pPr>
        <w:pStyle w:val="Heading1"/>
      </w:pPr>
      <w:r>
        <w:t>9. Financial Close, Reopen &amp; Post-Close</w:t>
      </w:r>
    </w:p>
    <w:p>
      <w:pPr>
        <w:pStyle w:val="ListBullet"/>
      </w:pPr>
      <w:r>
        <w:t>Kế thừa D-PROF-001: tenant chọn Strict Close hoặc Controlled Close.</w:t>
      </w:r>
    </w:p>
    <w:p>
      <w:pPr>
        <w:pStyle w:val="ListBullet"/>
      </w:pPr>
      <w:r>
        <w:t>Close eligibility kiểm tra required Revenue/Cost, allocation, AP/AR, reconciliation, exceptions và accepted open items theo policy.</w:t>
      </w:r>
    </w:p>
    <w:p>
      <w:pPr>
        <w:pStyle w:val="ListBullet"/>
      </w:pPr>
      <w:r>
        <w:t>Khi Close: tạo immutable Financial Close Snapshot; Current Financial Profile vẫn có thể thay đổi qua post-close controls.</w:t>
      </w:r>
    </w:p>
    <w:p>
      <w:pPr>
        <w:pStyle w:val="ListBullet"/>
      </w:pPr>
      <w:r>
        <w:t>Reopen yêu cầu quyền + reason + audit; snapshot cũ không bị sửa/xóa.</w:t>
      </w:r>
    </w:p>
    <w:p>
      <w:pPr>
        <w:pStyle w:val="ListBullet"/>
      </w:pPr>
      <w:r>
        <w:t>Reclose tạo snapshot/version mới; dashboard có thể xem As Closed/As Reported và Current Restated.</w:t>
      </w:r>
    </w:p>
    <w:p>
      <w:pPr>
        <w:pStyle w:val="ListBullet"/>
      </w:pPr>
      <w:r>
        <w:t>Post-close adjustment/reversal không rewrite lịch sử; có thể kích hoạt re-reconciliation và exception.</w:t>
      </w:r>
    </w:p>
    <w:p>
      <w:pPr>
        <w:pStyle w:val="Heading1"/>
      </w:pPr>
      <w:r>
        <w:t>10. Budget, Forecast &amp; Management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Core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Budget</w:t>
            </w:r>
          </w:p>
        </w:tc>
        <w:tc>
          <w:tcPr>
            <w:tcW w:type="dxa" w:w="5112"/>
            <w:vAlign w:val="top"/>
          </w:tcPr>
          <w:p>
            <w:r>
              <w:t>Target/control amount theo period + configurable dimensions; versioned.</w:t>
            </w:r>
          </w:p>
        </w:tc>
      </w:tr>
      <w:tr>
        <w:tc>
          <w:tcPr>
            <w:tcW w:type="dxa" w:w="5112"/>
            <w:vAlign w:val="top"/>
          </w:tcPr>
          <w:p>
            <w:r>
              <w:t>Forecast</w:t>
            </w:r>
          </w:p>
        </w:tc>
        <w:tc>
          <w:tcPr>
            <w:tcW w:type="dxa" w:w="5112"/>
            <w:vAlign w:val="top"/>
          </w:tcPr>
          <w:p>
            <w:r>
              <w:t>Projected Revenue/Cost/Profit/Cash Flow; versioned; có source/as-of date.</w:t>
            </w:r>
          </w:p>
        </w:tc>
      </w:tr>
      <w:tr>
        <w:tc>
          <w:tcPr>
            <w:tcW w:type="dxa" w:w="5112"/>
            <w:vAlign w:val="top"/>
          </w:tcPr>
          <w:p>
            <w:r>
              <w:t>Actual vs Budget</w:t>
            </w:r>
          </w:p>
        </w:tc>
        <w:tc>
          <w:tcPr>
            <w:tcW w:type="dxa" w:w="5112"/>
            <w:vAlign w:val="top"/>
          </w:tcPr>
          <w:p>
            <w:r>
              <w:t>Variance amount/% với drill-down đến financial objects.</w:t>
            </w:r>
          </w:p>
        </w:tc>
      </w:tr>
      <w:tr>
        <w:tc>
          <w:tcPr>
            <w:tcW w:type="dxa" w:w="5112"/>
            <w:vAlign w:val="top"/>
          </w:tcPr>
          <w:p>
            <w:r>
              <w:t>Actual vs Forecast</w:t>
            </w:r>
          </w:p>
        </w:tc>
        <w:tc>
          <w:tcPr>
            <w:tcW w:type="dxa" w:w="5112"/>
            <w:vAlign w:val="top"/>
          </w:tcPr>
          <w:p>
            <w:r>
              <w:t>Variance và forecast accuracy; không overwrite historical forecast.</w:t>
            </w:r>
          </w:p>
        </w:tc>
      </w:tr>
      <w:tr>
        <w:tc>
          <w:tcPr>
            <w:tcW w:type="dxa" w:w="5112"/>
            <w:vAlign w:val="top"/>
          </w:tcPr>
          <w:p>
            <w:r>
              <w:t>Management Control</w:t>
            </w:r>
          </w:p>
        </w:tc>
        <w:tc>
          <w:tcPr>
            <w:tcW w:type="dxa" w:w="5112"/>
            <w:vAlign w:val="top"/>
          </w:tcPr>
          <w:p>
            <w:r>
              <w:t>KPI/exception/outstanding/cash/profitability/control completeness theo role/data scope.</w:t>
            </w:r>
          </w:p>
        </w:tc>
      </w:tr>
    </w:tbl>
    <w:p>
      <w:r>
        <w:t>Budget/Forecast trong LCMS là management-control layer; không thay thế enterprise planning/accounting platform.</w:t>
      </w:r>
    </w:p>
    <w:p>
      <w:pPr>
        <w:pStyle w:val="Heading1"/>
      </w:pPr>
      <w:r>
        <w:t>11. State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State dimension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Baseline states</w:t>
            </w:r>
          </w:p>
        </w:tc>
      </w:tr>
      <w:tr>
        <w:tc>
          <w:tcPr>
            <w:tcW w:type="dxa" w:w="3408"/>
            <w:vAlign w:val="top"/>
          </w:tcPr>
          <w:p>
            <w:r>
              <w:t>Payment/Collection</w:t>
            </w:r>
          </w:p>
        </w:tc>
        <w:tc>
          <w:tcPr>
            <w:tcW w:type="dxa" w:w="3408"/>
            <w:vAlign w:val="top"/>
          </w:tcPr>
          <w:p>
            <w:r>
              <w:t>Record</w:t>
            </w:r>
          </w:p>
        </w:tc>
        <w:tc>
          <w:tcPr>
            <w:tcW w:type="dxa" w:w="3408"/>
            <w:vAlign w:val="top"/>
          </w:tcPr>
          <w:p>
            <w:r>
              <w:t>Draft / Submitted / Confirmed / Cancelled / Reversed</w:t>
            </w:r>
          </w:p>
        </w:tc>
      </w:tr>
      <w:tr>
        <w:tc>
          <w:tcPr>
            <w:tcW w:type="dxa" w:w="3408"/>
            <w:vAlign w:val="top"/>
          </w:tcPr>
          <w:p>
            <w:r>
              <w:t>Payment/Collection</w:t>
            </w:r>
          </w:p>
        </w:tc>
        <w:tc>
          <w:tcPr>
            <w:tcW w:type="dxa" w:w="3408"/>
            <w:vAlign w:val="top"/>
          </w:tcPr>
          <w:p>
            <w:r>
              <w:t>Allocation</w:t>
            </w:r>
          </w:p>
        </w:tc>
        <w:tc>
          <w:tcPr>
            <w:tcW w:type="dxa" w:w="3408"/>
            <w:vAlign w:val="top"/>
          </w:tcPr>
          <w:p>
            <w:r>
              <w:t>Unapplied / Partially Applied / Fully Applied / Reallocation Required / Superseded</w:t>
            </w:r>
          </w:p>
        </w:tc>
      </w:tr>
      <w:tr>
        <w:tc>
          <w:tcPr>
            <w:tcW w:type="dxa" w:w="3408"/>
            <w:vAlign w:val="top"/>
          </w:tcPr>
          <w:p>
            <w:r>
              <w:t>AP/AR</w:t>
            </w:r>
          </w:p>
        </w:tc>
        <w:tc>
          <w:tcPr>
            <w:tcW w:type="dxa" w:w="3408"/>
            <w:vAlign w:val="top"/>
          </w:tcPr>
          <w:p>
            <w:r>
              <w:t>Settlement</w:t>
            </w:r>
          </w:p>
        </w:tc>
        <w:tc>
          <w:tcPr>
            <w:tcW w:type="dxa" w:w="3408"/>
            <w:vAlign w:val="top"/>
          </w:tcPr>
          <w:p>
            <w:r>
              <w:t>Unsettled / Partially Settled / Settled / Over-settled</w:t>
            </w:r>
          </w:p>
        </w:tc>
      </w:tr>
      <w:tr>
        <w:tc>
          <w:tcPr>
            <w:tcW w:type="dxa" w:w="3408"/>
            <w:vAlign w:val="top"/>
          </w:tcPr>
          <w:p>
            <w:r>
              <w:t>Reconciliation</w:t>
            </w:r>
          </w:p>
        </w:tc>
        <w:tc>
          <w:tcPr>
            <w:tcW w:type="dxa" w:w="3408"/>
            <w:vAlign w:val="top"/>
          </w:tcPr>
          <w:p>
            <w:r>
              <w:t>Result</w:t>
            </w:r>
          </w:p>
        </w:tc>
        <w:tc>
          <w:tcPr>
            <w:tcW w:type="dxa" w:w="3408"/>
            <w:vAlign w:val="top"/>
          </w:tcPr>
          <w:p>
            <w:r>
              <w:t>Pending / Matched / Partially Matched / Variance / Exception / Not 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t>Exception</w:t>
            </w:r>
          </w:p>
        </w:tc>
        <w:tc>
          <w:tcPr>
            <w:tcW w:type="dxa" w:w="3408"/>
            <w:vAlign w:val="top"/>
          </w:tcPr>
          <w:p>
            <w:r>
              <w:t>Lifecycle</w:t>
            </w:r>
          </w:p>
        </w:tc>
        <w:tc>
          <w:tcPr>
            <w:tcW w:type="dxa" w:w="3408"/>
            <w:vAlign w:val="top"/>
          </w:tcPr>
          <w:p>
            <w:r>
              <w:t>Open / Assigned / Under Review / Resolved / Accepted / Closed</w:t>
            </w:r>
          </w:p>
        </w:tc>
      </w:tr>
      <w:tr>
        <w:tc>
          <w:tcPr>
            <w:tcW w:type="dxa" w:w="3408"/>
            <w:vAlign w:val="top"/>
          </w:tcPr>
          <w:p>
            <w:r>
              <w:t>Approval</w:t>
            </w:r>
          </w:p>
        </w:tc>
        <w:tc>
          <w:tcPr>
            <w:tcW w:type="dxa" w:w="3408"/>
            <w:vAlign w:val="top"/>
          </w:tcPr>
          <w:p>
            <w:r>
              <w:t>Approval</w:t>
            </w:r>
          </w:p>
        </w:tc>
        <w:tc>
          <w:tcPr>
            <w:tcW w:type="dxa" w:w="3408"/>
            <w:vAlign w:val="top"/>
          </w:tcPr>
          <w:p>
            <w:r>
              <w:t>Not Required / Pending / Approved / Rejected / Cancelled</w:t>
            </w:r>
          </w:p>
        </w:tc>
      </w:tr>
      <w:tr>
        <w:tc>
          <w:tcPr>
            <w:tcW w:type="dxa" w:w="3408"/>
            <w:vAlign w:val="top"/>
          </w:tcPr>
          <w:p>
            <w:r>
              <w:t>Financial Close</w:t>
            </w:r>
          </w:p>
        </w:tc>
        <w:tc>
          <w:tcPr>
            <w:tcW w:type="dxa" w:w="3408"/>
            <w:vAlign w:val="top"/>
          </w:tcPr>
          <w:p>
            <w:r>
              <w:t>Close</w:t>
            </w:r>
          </w:p>
        </w:tc>
        <w:tc>
          <w:tcPr>
            <w:tcW w:type="dxa" w:w="3408"/>
            <w:vAlign w:val="top"/>
          </w:tcPr>
          <w:p>
            <w:r>
              <w:t>Open / Close Review / Closed / Reopened / Reclosed</w:t>
            </w:r>
          </w:p>
        </w:tc>
      </w:tr>
    </w:tbl>
    <w:p>
      <w:pPr>
        <w:pStyle w:val="Heading1"/>
      </w:pPr>
      <w:r>
        <w:t>12. Relationship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Cardinality / Note</w:t>
            </w:r>
          </w:p>
        </w:tc>
      </w:tr>
      <w:tr>
        <w:tc>
          <w:tcPr>
            <w:tcW w:type="dxa" w:w="2556"/>
            <w:vAlign w:val="top"/>
          </w:tcPr>
          <w:p>
            <w:r>
              <w:t>Payment</w:t>
            </w:r>
          </w:p>
        </w:tc>
        <w:tc>
          <w:tcPr>
            <w:tcW w:type="dxa" w:w="2556"/>
            <w:vAlign w:val="top"/>
          </w:tcPr>
          <w:p>
            <w:r>
              <w:t>Settlement Allocation</w:t>
            </w:r>
          </w:p>
        </w:tc>
        <w:tc>
          <w:tcPr>
            <w:tcW w:type="dxa" w:w="2556"/>
            <w:vAlign w:val="top"/>
          </w:tcPr>
          <w:p>
            <w:r>
              <w:t>AP Item</w:t>
            </w:r>
          </w:p>
        </w:tc>
        <w:tc>
          <w:tcPr>
            <w:tcW w:type="dxa" w:w="2556"/>
            <w:vAlign w:val="top"/>
          </w:tcPr>
          <w:p>
            <w:r>
              <w:t>N:N via allocation detail</w:t>
            </w:r>
          </w:p>
        </w:tc>
      </w:tr>
      <w:tr>
        <w:tc>
          <w:tcPr>
            <w:tcW w:type="dxa" w:w="2556"/>
            <w:vAlign w:val="top"/>
          </w:tcPr>
          <w:p>
            <w:r>
              <w:t>Collection</w:t>
            </w:r>
          </w:p>
        </w:tc>
        <w:tc>
          <w:tcPr>
            <w:tcW w:type="dxa" w:w="2556"/>
            <w:vAlign w:val="top"/>
          </w:tcPr>
          <w:p>
            <w:r>
              <w:t>Settlement Allocation</w:t>
            </w:r>
          </w:p>
        </w:tc>
        <w:tc>
          <w:tcPr>
            <w:tcW w:type="dxa" w:w="2556"/>
            <w:vAlign w:val="top"/>
          </w:tcPr>
          <w:p>
            <w:r>
              <w:t>AR Item</w:t>
            </w:r>
          </w:p>
        </w:tc>
        <w:tc>
          <w:tcPr>
            <w:tcW w:type="dxa" w:w="2556"/>
            <w:vAlign w:val="top"/>
          </w:tcPr>
          <w:p>
            <w:r>
              <w:t>N:N via allocation detail</w:t>
            </w:r>
          </w:p>
        </w:tc>
      </w:tr>
      <w:tr>
        <w:tc>
          <w:tcPr>
            <w:tcW w:type="dxa" w:w="2556"/>
            <w:vAlign w:val="top"/>
          </w:tcPr>
          <w:p>
            <w:r>
              <w:t>Payment/Collection</w:t>
            </w:r>
          </w:p>
        </w:tc>
        <w:tc>
          <w:tcPr>
            <w:tcW w:type="dxa" w:w="2556"/>
            <w:vAlign w:val="top"/>
          </w:tcPr>
          <w:p>
            <w:r>
              <w:t>Reconciliation</w:t>
            </w:r>
          </w:p>
        </w:tc>
        <w:tc>
          <w:tcPr>
            <w:tcW w:type="dxa" w:w="2556"/>
            <w:vAlign w:val="top"/>
          </w:tcPr>
          <w:p>
            <w:r>
              <w:t>Bank/External Transaction</w:t>
            </w:r>
          </w:p>
        </w:tc>
        <w:tc>
          <w:tcPr>
            <w:tcW w:type="dxa" w:w="2556"/>
            <w:vAlign w:val="top"/>
          </w:tcPr>
          <w:p>
            <w:r>
              <w:t>N:N possible</w:t>
            </w:r>
          </w:p>
        </w:tc>
      </w:tr>
      <w:tr>
        <w:tc>
          <w:tcPr>
            <w:tcW w:type="dxa" w:w="2556"/>
            <w:vAlign w:val="top"/>
          </w:tcPr>
          <w:p>
            <w:r>
              <w:t>Financial Object</w:t>
            </w:r>
          </w:p>
        </w:tc>
        <w:tc>
          <w:tcPr>
            <w:tcW w:type="dxa" w:w="2556"/>
            <w:vAlign w:val="top"/>
          </w:tcPr>
          <w:p>
            <w:r>
              <w:t>Reconciliation</w:t>
            </w:r>
          </w:p>
        </w:tc>
        <w:tc>
          <w:tcPr>
            <w:tcW w:type="dxa" w:w="2556"/>
            <w:vAlign w:val="top"/>
          </w:tcPr>
          <w:p>
            <w:r>
              <w:t>Financial Object</w:t>
            </w:r>
          </w:p>
        </w:tc>
        <w:tc>
          <w:tcPr>
            <w:tcW w:type="dxa" w:w="2556"/>
            <w:vAlign w:val="top"/>
          </w:tcPr>
          <w:p>
            <w:r>
              <w:t>Generic controlled N:N matching</w:t>
            </w:r>
          </w:p>
        </w:tc>
      </w:tr>
      <w:tr>
        <w:tc>
          <w:tcPr>
            <w:tcW w:type="dxa" w:w="2556"/>
            <w:vAlign w:val="top"/>
          </w:tcPr>
          <w:p>
            <w:r>
              <w:t>Variance</w:t>
            </w:r>
          </w:p>
        </w:tc>
        <w:tc>
          <w:tcPr>
            <w:tcW w:type="dxa" w:w="2556"/>
            <w:vAlign w:val="top"/>
          </w:tcPr>
          <w:p>
            <w:r>
              <w:t>Exception Rule</w:t>
            </w:r>
          </w:p>
        </w:tc>
        <w:tc>
          <w:tcPr>
            <w:tcW w:type="dxa" w:w="2556"/>
            <w:vAlign w:val="top"/>
          </w:tcPr>
          <w:p>
            <w:r>
              <w:t>Exception</w:t>
            </w:r>
          </w:p>
        </w:tc>
        <w:tc>
          <w:tcPr>
            <w:tcW w:type="dxa" w:w="2556"/>
            <w:vAlign w:val="top"/>
          </w:tcPr>
          <w:p>
            <w:r>
              <w:t>0:N based on rule/threshold</w:t>
            </w:r>
          </w:p>
        </w:tc>
      </w:tr>
      <w:tr>
        <w:tc>
          <w:tcPr>
            <w:tcW w:type="dxa" w:w="2556"/>
            <w:vAlign w:val="top"/>
          </w:tcPr>
          <w:p>
            <w:r>
              <w:t>Exception</w:t>
            </w:r>
          </w:p>
        </w:tc>
        <w:tc>
          <w:tcPr>
            <w:tcW w:type="dxa" w:w="2556"/>
            <w:vAlign w:val="top"/>
          </w:tcPr>
          <w:p>
            <w:r>
              <w:t>Approval/Workflow</w:t>
            </w:r>
          </w:p>
        </w:tc>
        <w:tc>
          <w:tcPr>
            <w:tcW w:type="dxa" w:w="2556"/>
            <w:vAlign w:val="top"/>
          </w:tcPr>
          <w:p>
            <w:r>
              <w:t>Approval</w:t>
            </w:r>
          </w:p>
        </w:tc>
        <w:tc>
          <w:tcPr>
            <w:tcW w:type="dxa" w:w="2556"/>
            <w:vAlign w:val="top"/>
          </w:tcPr>
          <w:p>
            <w:r>
              <w:t>0:N configurable</w:t>
            </w:r>
          </w:p>
        </w:tc>
      </w:tr>
      <w:tr>
        <w:tc>
          <w:tcPr>
            <w:tcW w:type="dxa" w:w="2556"/>
            <w:vAlign w:val="top"/>
          </w:tcPr>
          <w:p>
            <w:r>
              <w:t>Bill</w:t>
            </w:r>
          </w:p>
        </w:tc>
        <w:tc>
          <w:tcPr>
            <w:tcW w:type="dxa" w:w="2556"/>
            <w:vAlign w:val="top"/>
          </w:tcPr>
          <w:p>
            <w:r>
              <w:t>Financial Control View</w:t>
            </w:r>
          </w:p>
        </w:tc>
        <w:tc>
          <w:tcPr>
            <w:tcW w:type="dxa" w:w="2556"/>
            <w:vAlign w:val="top"/>
          </w:tcPr>
          <w:p>
            <w:r>
              <w:t>AP/AR/Settlement/Exception</w:t>
            </w:r>
          </w:p>
        </w:tc>
        <w:tc>
          <w:tcPr>
            <w:tcW w:type="dxa" w:w="2556"/>
            <w:vAlign w:val="top"/>
          </w:tcPr>
          <w:p>
            <w:r>
              <w:t>Aggregated/drill-down</w:t>
            </w:r>
          </w:p>
        </w:tc>
      </w:tr>
      <w:tr>
        <w:tc>
          <w:tcPr>
            <w:tcW w:type="dxa" w:w="2556"/>
            <w:vAlign w:val="top"/>
          </w:tcPr>
          <w:p>
            <w:r>
              <w:t>Financial Close</w:t>
            </w:r>
          </w:p>
        </w:tc>
        <w:tc>
          <w:tcPr>
            <w:tcW w:type="dxa" w:w="2556"/>
            <w:vAlign w:val="top"/>
          </w:tcPr>
          <w:p>
            <w:r>
              <w:t>Snapshot</w:t>
            </w:r>
          </w:p>
        </w:tc>
        <w:tc>
          <w:tcPr>
            <w:tcW w:type="dxa" w:w="2556"/>
            <w:vAlign w:val="top"/>
          </w:tcPr>
          <w:p>
            <w:r>
              <w:t>Financial Profile</w:t>
            </w:r>
          </w:p>
        </w:tc>
        <w:tc>
          <w:tcPr>
            <w:tcW w:type="dxa" w:w="2556"/>
            <w:vAlign w:val="top"/>
          </w:tcPr>
          <w:p>
            <w:r>
              <w:t>1:N versions over close/reopen/reclose history</w:t>
            </w:r>
          </w:p>
        </w:tc>
      </w:tr>
    </w:tbl>
    <w:p>
      <w:pPr>
        <w:pStyle w:val="Heading1"/>
      </w:pPr>
      <w:r>
        <w:t>13. Business Rules — Core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BR-FC-001</w:t>
            </w:r>
          </w:p>
        </w:tc>
        <w:tc>
          <w:tcPr>
            <w:tcW w:type="dxa" w:w="5112"/>
            <w:vAlign w:val="top"/>
          </w:tcPr>
          <w:p>
            <w:r>
              <w:t>Payment/Collection không tự tạo Cost/Revenue mới.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BR-FC-002</w:t>
            </w:r>
          </w:p>
        </w:tc>
        <w:tc>
          <w:tcPr>
            <w:tcW w:type="dxa" w:w="5112"/>
            <w:vAlign w:val="top"/>
          </w:tcPr>
          <w:p>
            <w:r>
              <w:t>Settlement chỉ ảnh hưởng Outstanding sau khi allocation hợp lệ/finalized.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BR-FC-003</w:t>
            </w:r>
          </w:p>
        </w:tc>
        <w:tc>
          <w:tcPr>
            <w:tcW w:type="dxa" w:w="5112"/>
            <w:vAlign w:val="top"/>
          </w:tcPr>
          <w:p>
            <w:r>
              <w:t>Finalized allocations phải bảo toàn tổng tiền trong phạm vi rounding/tolerance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BR-FC-004</w:t>
            </w:r>
          </w:p>
        </w:tc>
        <w:tc>
          <w:tcPr>
            <w:tcW w:type="dxa" w:w="5112"/>
            <w:vAlign w:val="top"/>
          </w:tcPr>
          <w:p>
            <w:r>
              <w:t>Partial settlement được hỗ trợ native.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BR-FC-005</w:t>
            </w:r>
          </w:p>
        </w:tc>
        <w:tc>
          <w:tcPr>
            <w:tcW w:type="dxa" w:w="5112"/>
            <w:vAlign w:val="top"/>
          </w:tcPr>
          <w:p>
            <w:r>
              <w:t>Unapplied cash phải hiển thị và kiểm soát riêng.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BR-FC-006</w:t>
            </w:r>
          </w:p>
        </w:tc>
        <w:tc>
          <w:tcPr>
            <w:tcW w:type="dxa" w:w="5112"/>
            <w:vAlign w:val="top"/>
          </w:tcPr>
          <w:p>
            <w:r>
              <w:t>Không silent reallocation; reverse/supersede + audit.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BR-FC-007</w:t>
            </w:r>
          </w:p>
        </w:tc>
        <w:tc>
          <w:tcPr>
            <w:tcW w:type="dxa" w:w="5112"/>
            <w:vAlign w:val="top"/>
          </w:tcPr>
          <w:p>
            <w:r>
              <w:t>Matched ≠ Recognized ≠ Settled.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BR-FC-008</w:t>
            </w:r>
          </w:p>
        </w:tc>
        <w:tc>
          <w:tcPr>
            <w:tcW w:type="dxa" w:w="5112"/>
            <w:vAlign w:val="top"/>
          </w:tcPr>
          <w:p>
            <w:r>
              <w:t>Variance không tự động là Exception.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BR-FC-009</w:t>
            </w:r>
          </w:p>
        </w:tc>
        <w:tc>
          <w:tcPr>
            <w:tcW w:type="dxa" w:w="5112"/>
            <w:vAlign w:val="top"/>
          </w:tcPr>
          <w:p>
            <w:r>
              <w:t>Exception được tạo bởi rule/threshold hoặc authorized manual escalation.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BR-FC-010</w:t>
            </w:r>
          </w:p>
        </w:tc>
        <w:tc>
          <w:tcPr>
            <w:tcW w:type="dxa" w:w="5112"/>
            <w:vAlign w:val="top"/>
          </w:tcPr>
          <w:p>
            <w:r>
              <w:t>Manual match/override bắt buộc actor + reason + audit; approval tùy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BR-FC-011</w:t>
            </w:r>
          </w:p>
        </w:tc>
        <w:tc>
          <w:tcPr>
            <w:tcW w:type="dxa" w:w="5112"/>
            <w:vAlign w:val="top"/>
          </w:tcPr>
          <w:p>
            <w:r>
              <w:t>Cross-currency control phải giữ original + base currency và FX traceability.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BR-FC-012</w:t>
            </w:r>
          </w:p>
        </w:tc>
        <w:tc>
          <w:tcPr>
            <w:tcW w:type="dxa" w:w="5112"/>
            <w:vAlign w:val="top"/>
          </w:tcPr>
          <w:p>
            <w:r>
              <w:t>Close snapshot bất biến.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BR-FC-013</w:t>
            </w:r>
          </w:p>
        </w:tc>
        <w:tc>
          <w:tcPr>
            <w:tcW w:type="dxa" w:w="5112"/>
            <w:vAlign w:val="top"/>
          </w:tcPr>
          <w:p>
            <w:r>
              <w:t>Post-close change dùng adjustment/reversal, không sửa lịch sử.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BR-FC-014</w:t>
            </w:r>
          </w:p>
        </w:tc>
        <w:tc>
          <w:tcPr>
            <w:tcW w:type="dxa" w:w="5112"/>
            <w:vAlign w:val="top"/>
          </w:tcPr>
          <w:p>
            <w:r>
              <w:t>Reopen/reclose giữ toàn bộ snapshot/version history.</w:t>
            </w:r>
          </w:p>
        </w:tc>
      </w:tr>
      <w:tr>
        <w:tc>
          <w:tcPr>
            <w:tcW w:type="dxa" w:w="5112"/>
            <w:vAlign w:val="top"/>
          </w:tcPr>
          <w:p>
            <w:r>
              <w:t>BR-FC-015</w:t>
            </w:r>
          </w:p>
        </w:tc>
        <w:tc>
          <w:tcPr>
            <w:tcW w:type="dxa" w:w="5112"/>
            <w:vAlign w:val="top"/>
          </w:tcPr>
          <w:p>
            <w:r>
              <w:t>Budget/Forecast versioned; historical version không overwrite.</w:t>
            </w:r>
          </w:p>
        </w:tc>
      </w:tr>
    </w:tbl>
    <w:p>
      <w:pPr>
        <w:pStyle w:val="Heading1"/>
      </w:pPr>
      <w:r>
        <w:t>14. Decision Log &amp; Carry-forward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3408"/>
            <w:vAlign w:val="top"/>
          </w:tcPr>
          <w:p>
            <w:r>
              <w:t>D-FIN-001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Configurable Cost Actualization Policy.</w:t>
            </w:r>
          </w:p>
        </w:tc>
      </w:tr>
      <w:tr>
        <w:tc>
          <w:tcPr>
            <w:tcW w:type="dxa" w:w="3408"/>
            <w:vAlign w:val="top"/>
          </w:tcPr>
          <w:p>
            <w:r>
              <w:t>D-FIN-002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Flexible N:N detail-level DN↔Invoice matching; DN không bắt buộc trước Invoice.</w:t>
            </w:r>
          </w:p>
        </w:tc>
      </w:tr>
      <w:tr>
        <w:tc>
          <w:tcPr>
            <w:tcW w:type="dxa" w:w="3408"/>
            <w:vAlign w:val="top"/>
          </w:tcPr>
          <w:p>
            <w:r>
              <w:t>D-FIN-003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Tách Financial Exposure/Obligation khỏi Recognized AP/AR.</w:t>
            </w:r>
          </w:p>
        </w:tc>
      </w:tr>
      <w:tr>
        <w:tc>
          <w:tcPr>
            <w:tcW w:type="dxa" w:w="3408"/>
            <w:vAlign w:val="top"/>
          </w:tcPr>
          <w:p>
            <w:r>
              <w:t>D-PROF-001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Configurable Financial Close Policy: Strict / Controlled.</w:t>
            </w:r>
          </w:p>
        </w:tc>
      </w:tr>
      <w:tr>
        <w:tc>
          <w:tcPr>
            <w:tcW w:type="dxa" w:w="3408"/>
            <w:vAlign w:val="top"/>
          </w:tcPr>
          <w:p>
            <w:r>
              <w:t>CP4-ARCH</w:t>
            </w:r>
          </w:p>
        </w:tc>
        <w:tc>
          <w:tcPr>
            <w:tcW w:type="dxa" w:w="3408"/>
            <w:vAlign w:val="top"/>
          </w:tcPr>
          <w:p>
            <w:r>
              <w:t>[ARCHITECTURE AGREED]</w:t>
            </w:r>
          </w:p>
        </w:tc>
        <w:tc>
          <w:tcPr>
            <w:tcW w:type="dxa" w:w="3408"/>
            <w:vAlign w:val="top"/>
          </w:tcPr>
          <w:p>
            <w:r>
              <w:t>Settlement, reconciliation, variance, exception, approval và close là các control dimensions/layers tách biệt.</w:t>
            </w:r>
          </w:p>
        </w:tc>
      </w:tr>
    </w:tbl>
    <w:p>
      <w:r>
        <w:t>Không còn open decision bắt buộc để đóng Checkpoint 4. Các danh mục threshold, tolerance, approval matrix, aging buckets, notification channel, budget dimensions và integration mappings được đưa sang Checkpoint 5 dưới dạng tenant configuration/master data.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Payment/Collection và Settlement Allocation model hoàn chỉnh ở mức BA.</w:t>
      </w:r>
    </w:p>
    <w:p>
      <w:pPr>
        <w:pStyle w:val="ListBullet"/>
      </w:pPr>
      <w:r>
        <w:t>Outstanding/Cash Flow control và AP/AR settlement boundaries rõ.</w:t>
      </w:r>
    </w:p>
    <w:p>
      <w:pPr>
        <w:pStyle w:val="ListBullet"/>
      </w:pPr>
      <w:r>
        <w:t>Reconciliation/Variance/Exception/Approval model có rule và state dimensions.</w:t>
      </w:r>
    </w:p>
    <w:p>
      <w:pPr>
        <w:pStyle w:val="ListBullet"/>
      </w:pPr>
      <w:r>
        <w:t>Financial Close/Reopen/Post-Close kế thừa snapshot architecture và không phá historical integrity.</w:t>
      </w:r>
    </w:p>
    <w:p>
      <w:pPr>
        <w:pStyle w:val="ListBullet"/>
      </w:pPr>
      <w:r>
        <w:t>Budget/Forecast/Management Control có boundary rõ với accounting/planning systems.</w:t>
      </w:r>
    </w:p>
    <w:p>
      <w:pPr>
        <w:pStyle w:val="ListBullet"/>
      </w:pPr>
      <w:r>
        <w:t>Các cấu hình cần tenant policy được carry-forward sang Checkpoint 5.</w:t>
      </w:r>
    </w:p>
    <w:p>
      <w:r>
        <w:t>Checkpoint 4 — Financial Control Blueprint: 100% — COMPLETED / PACKAGED.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