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LOGISTICS COST MANAGEMENT SYSTEM (LCMS)</w:t>
      </w:r>
    </w:p>
    <w:p>
      <w:pPr>
        <w:jc w:val="center"/>
      </w:pPr>
      <w:r>
        <w:rPr>
          <w:b/>
          <w:sz w:val="34"/>
        </w:rPr>
        <w:t>CHECKPOINT 5 — MASTER DATA, CONFIGURATION, INTEGRATION &amp; SECURITY/PERMISSION BLUEPRINT</w:t>
      </w:r>
    </w:p>
    <w:p>
      <w:pPr>
        <w:jc w:val="center"/>
      </w:pPr>
      <w:r>
        <w:rPr>
          <w:i/>
        </w:rPr>
        <w:t>Version 1.0 • BA / Business Architecture Package</w:t>
      </w:r>
    </w:p>
    <w:p>
      <w:pPr>
        <w:pStyle w:val="Heading1"/>
      </w:pPr>
      <w:r>
        <w:t>1. Mục tiêu và phạm vi</w:t>
      </w:r>
    </w:p>
    <w:p>
      <w:r>
        <w:t>Checkpoint 5 chuẩn hóa lớp nền dùng chung của LCMS: Master Data, tenant configuration, capability configuration, integration contracts ở mức business, security/permission, data scope và audit. Mục tiêu là bảo đảm các domain Cost, Revenue, Financial Documents, AP/AR và Financial Control có thể vận hành nhất quán giữa nhiều công ty mà không hard-code quy trình hoặc danh mục.</w:t>
      </w:r>
    </w:p>
    <w:p>
      <w:pPr>
        <w:pStyle w:val="ListBullet"/>
      </w:pPr>
      <w:r>
        <w:t>Master Data: Customer, Vendor, Business Party, Currency/FX, Cost/Revenue/Pricing taxonomy, service và organization references.</w:t>
      </w:r>
    </w:p>
    <w:p>
      <w:pPr>
        <w:pStyle w:val="ListBullet"/>
      </w:pPr>
      <w:r>
        <w:t>Configuration: tenant policies, capabilities, thresholds, tolerances, numbering, aging, approval/exception/close policies.</w:t>
      </w:r>
    </w:p>
    <w:p>
      <w:pPr>
        <w:pStyle w:val="ListBullet"/>
      </w:pPr>
      <w:r>
        <w:t>Integration: Operational System, ERP/Accounting, Bank/Cash, Rate sources và external APIs ở mức business contract.</w:t>
      </w:r>
    </w:p>
    <w:p>
      <w:pPr>
        <w:pStyle w:val="ListBullet"/>
      </w:pPr>
      <w:r>
        <w:t>Security &amp; Permission: role, action permission, data scope, segregation of duties, sensitive financial access.</w:t>
      </w:r>
    </w:p>
    <w:p>
      <w:pPr>
        <w:pStyle w:val="ListBullet"/>
      </w:pPr>
      <w:r>
        <w:t>Audit &amp; governance: versioning, effective dating, change reason, source traceability và configuration history.</w:t>
      </w:r>
    </w:p>
    <w:p>
      <w:pPr>
        <w:pStyle w:val="Heading1"/>
      </w:pPr>
      <w:r>
        <w:t>2. Nguyên tắc kiến trúc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top"/>
          </w:tcPr>
          <w:p>
            <w:r>
              <w:t>MD-P01</w:t>
            </w:r>
          </w:p>
        </w:tc>
        <w:tc>
          <w:tcPr>
            <w:tcW w:type="dxa" w:w="3408"/>
            <w:vAlign w:val="top"/>
          </w:tcPr>
          <w:p>
            <w:r>
              <w:t>One Core Model</w:t>
            </w:r>
          </w:p>
        </w:tc>
        <w:tc>
          <w:tcPr>
            <w:tcW w:type="dxa" w:w="3408"/>
            <w:vAlign w:val="top"/>
          </w:tcPr>
          <w:p>
            <w:r>
              <w:t>Một Core Business Model; khác biệt giữa công ty xử lý bằng capability/configuration, không fork model.</w:t>
            </w:r>
          </w:p>
        </w:tc>
      </w:tr>
      <w:tr>
        <w:tc>
          <w:tcPr>
            <w:tcW w:type="dxa" w:w="3408"/>
            <w:vAlign w:val="top"/>
          </w:tcPr>
          <w:p>
            <w:r>
              <w:t>MD-P02</w:t>
            </w:r>
          </w:p>
        </w:tc>
        <w:tc>
          <w:tcPr>
            <w:tcW w:type="dxa" w:w="3408"/>
            <w:vAlign w:val="top"/>
          </w:tcPr>
          <w:p>
            <w:r>
              <w:t>Configurable taxonomy</w:t>
            </w:r>
          </w:p>
        </w:tc>
        <w:tc>
          <w:tcPr>
            <w:tcW w:type="dxa" w:w="3408"/>
            <w:vAlign w:val="top"/>
          </w:tcPr>
          <w:p>
            <w:r>
              <w:t>Cost Type, Revenue Type, Category, Pricing Component, Service Type và control taxonomies không hard-code.</w:t>
            </w:r>
          </w:p>
        </w:tc>
      </w:tr>
      <w:tr>
        <w:tc>
          <w:tcPr>
            <w:tcW w:type="dxa" w:w="3408"/>
            <w:vAlign w:val="top"/>
          </w:tcPr>
          <w:p>
            <w:r>
              <w:t>MD-P03</w:t>
            </w:r>
          </w:p>
        </w:tc>
        <w:tc>
          <w:tcPr>
            <w:tcW w:type="dxa" w:w="3408"/>
            <w:vAlign w:val="top"/>
          </w:tcPr>
          <w:p>
            <w:r>
              <w:t>Effective dating</w:t>
            </w:r>
          </w:p>
        </w:tc>
        <w:tc>
          <w:tcPr>
            <w:tcW w:type="dxa" w:w="3408"/>
            <w:vAlign w:val="top"/>
          </w:tcPr>
          <w:p>
            <w:r>
              <w:t>Master/config quan trọng phải có effective_from/effective_to hoặc version để bảo toàn lịch sử.</w:t>
            </w:r>
          </w:p>
        </w:tc>
      </w:tr>
      <w:tr>
        <w:tc>
          <w:tcPr>
            <w:tcW w:type="dxa" w:w="3408"/>
            <w:vAlign w:val="top"/>
          </w:tcPr>
          <w:p>
            <w:r>
              <w:t>MD-P04</w:t>
            </w:r>
          </w:p>
        </w:tc>
        <w:tc>
          <w:tcPr>
            <w:tcW w:type="dxa" w:w="3408"/>
            <w:vAlign w:val="top"/>
          </w:tcPr>
          <w:p>
            <w:r>
              <w:t>Reference, not duplication</w:t>
            </w:r>
          </w:p>
        </w:tc>
        <w:tc>
          <w:tcPr>
            <w:tcW w:type="dxa" w:w="3408"/>
            <w:vAlign w:val="top"/>
          </w:tcPr>
          <w:p>
            <w:r>
              <w:t>Operational master từ hệ thống nguồn chỉ đồng bộ phần LCMS cần; Operational System vẫn là Source of Truth.</w:t>
            </w:r>
          </w:p>
        </w:tc>
      </w:tr>
      <w:tr>
        <w:tc>
          <w:tcPr>
            <w:tcW w:type="dxa" w:w="3408"/>
            <w:vAlign w:val="top"/>
          </w:tcPr>
          <w:p>
            <w:r>
              <w:t>CFG-P01</w:t>
            </w:r>
          </w:p>
        </w:tc>
        <w:tc>
          <w:tcPr>
            <w:tcW w:type="dxa" w:w="3408"/>
            <w:vAlign w:val="top"/>
          </w:tcPr>
          <w:p>
            <w:r>
              <w:t>Policy over transaction choice</w:t>
            </w:r>
          </w:p>
        </w:tc>
        <w:tc>
          <w:tcPr>
            <w:tcW w:type="dxa" w:w="3408"/>
            <w:vAlign w:val="top"/>
          </w:tcPr>
          <w:p>
            <w:r>
              <w:t>Recognition/actualization/close/control policy cấu hình theo tenant/scope, không cho user tùy ý chọn trên từng transaction.</w:t>
            </w:r>
          </w:p>
        </w:tc>
      </w:tr>
      <w:tr>
        <w:tc>
          <w:tcPr>
            <w:tcW w:type="dxa" w:w="3408"/>
            <w:vAlign w:val="top"/>
          </w:tcPr>
          <w:p>
            <w:r>
              <w:t>CFG-P02</w:t>
            </w:r>
          </w:p>
        </w:tc>
        <w:tc>
          <w:tcPr>
            <w:tcW w:type="dxa" w:w="3408"/>
            <w:vAlign w:val="top"/>
          </w:tcPr>
          <w:p>
            <w:r>
              <w:t>No silent config history rewrite</w:t>
            </w:r>
          </w:p>
        </w:tc>
        <w:tc>
          <w:tcPr>
            <w:tcW w:type="dxa" w:w="3408"/>
            <w:vAlign w:val="top"/>
          </w:tcPr>
          <w:p>
            <w:r>
              <w:t>Thay đổi policy/rule phải lưu version/effective date/audit; không làm thay đổi im lặng kết quả lịch sử.</w:t>
            </w:r>
          </w:p>
        </w:tc>
      </w:tr>
      <w:tr>
        <w:tc>
          <w:tcPr>
            <w:tcW w:type="dxa" w:w="3408"/>
            <w:vAlign w:val="top"/>
          </w:tcPr>
          <w:p>
            <w:r>
              <w:t>INT-P01</w:t>
            </w:r>
          </w:p>
        </w:tc>
        <w:tc>
          <w:tcPr>
            <w:tcW w:type="dxa" w:w="3408"/>
            <w:vAlign w:val="top"/>
          </w:tcPr>
          <w:p>
            <w:r>
              <w:t>Idempotent integration</w:t>
            </w:r>
          </w:p>
        </w:tc>
        <w:tc>
          <w:tcPr>
            <w:tcW w:type="dxa" w:w="3408"/>
            <w:vAlign w:val="top"/>
          </w:tcPr>
          <w:p>
            <w:r>
              <w:t>External event/import phải có source + external ID/version để chống duplicate.</w:t>
            </w:r>
          </w:p>
        </w:tc>
      </w:tr>
      <w:tr>
        <w:tc>
          <w:tcPr>
            <w:tcW w:type="dxa" w:w="3408"/>
            <w:vAlign w:val="top"/>
          </w:tcPr>
          <w:p>
            <w:r>
              <w:t>INT-P02</w:t>
            </w:r>
          </w:p>
        </w:tc>
        <w:tc>
          <w:tcPr>
            <w:tcW w:type="dxa" w:w="3408"/>
            <w:vAlign w:val="top"/>
          </w:tcPr>
          <w:p>
            <w:r>
              <w:t>Traceable mapping</w:t>
            </w:r>
          </w:p>
        </w:tc>
        <w:tc>
          <w:tcPr>
            <w:tcW w:type="dxa" w:w="3408"/>
            <w:vAlign w:val="top"/>
          </w:tcPr>
          <w:p>
            <w:r>
              <w:t>Mapping external→LCMS phải lưu source, key, mapping rule/version và lỗi.</w:t>
            </w:r>
          </w:p>
        </w:tc>
      </w:tr>
      <w:tr>
        <w:tc>
          <w:tcPr>
            <w:tcW w:type="dxa" w:w="3408"/>
            <w:vAlign w:val="top"/>
          </w:tcPr>
          <w:p>
            <w:r>
              <w:t>SEC-P01</w:t>
            </w:r>
          </w:p>
        </w:tc>
        <w:tc>
          <w:tcPr>
            <w:tcW w:type="dxa" w:w="3408"/>
            <w:vAlign w:val="top"/>
          </w:tcPr>
          <w:p>
            <w:r>
              <w:t>Least privilege</w:t>
            </w:r>
          </w:p>
        </w:tc>
        <w:tc>
          <w:tcPr>
            <w:tcW w:type="dxa" w:w="3408"/>
            <w:vAlign w:val="top"/>
          </w:tcPr>
          <w:p>
            <w:r>
              <w:t>Quyền theo role/action/data scope; mặc định không mở rộng ngoài phạm vi cần thiết.</w:t>
            </w:r>
          </w:p>
        </w:tc>
      </w:tr>
      <w:tr>
        <w:tc>
          <w:tcPr>
            <w:tcW w:type="dxa" w:w="3408"/>
            <w:vAlign w:val="top"/>
          </w:tcPr>
          <w:p>
            <w:r>
              <w:t>SEC-P02</w:t>
            </w:r>
          </w:p>
        </w:tc>
        <w:tc>
          <w:tcPr>
            <w:tcW w:type="dxa" w:w="3408"/>
            <w:vAlign w:val="top"/>
          </w:tcPr>
          <w:p>
            <w:r>
              <w:t>Permission ≠ Approval</w:t>
            </w:r>
          </w:p>
        </w:tc>
        <w:tc>
          <w:tcPr>
            <w:tcW w:type="dxa" w:w="3408"/>
            <w:vAlign w:val="top"/>
          </w:tcPr>
          <w:p>
            <w:r>
              <w:t>Có quyền thao tác không đồng nghĩa được tự phê duyệt thao tác đó.</w:t>
            </w:r>
          </w:p>
        </w:tc>
      </w:tr>
      <w:tr>
        <w:tc>
          <w:tcPr>
            <w:tcW w:type="dxa" w:w="3408"/>
            <w:vAlign w:val="top"/>
          </w:tcPr>
          <w:p>
            <w:r>
              <w:t>SEC-P03</w:t>
            </w:r>
          </w:p>
        </w:tc>
        <w:tc>
          <w:tcPr>
            <w:tcW w:type="dxa" w:w="3408"/>
            <w:vAlign w:val="top"/>
          </w:tcPr>
          <w:p>
            <w:r>
              <w:t>Data scope is independent</w:t>
            </w:r>
          </w:p>
        </w:tc>
        <w:tc>
          <w:tcPr>
            <w:tcW w:type="dxa" w:w="3408"/>
            <w:vAlign w:val="top"/>
          </w:tcPr>
          <w:p>
            <w:r>
              <w:t>Action permission và phạm vi dữ liệu là hai chiều độc lập.</w:t>
            </w:r>
          </w:p>
        </w:tc>
      </w:tr>
      <w:tr>
        <w:tc>
          <w:tcPr>
            <w:tcW w:type="dxa" w:w="3408"/>
            <w:vAlign w:val="top"/>
          </w:tcPr>
          <w:p>
            <w:r>
              <w:t>AUD-P01</w:t>
            </w:r>
          </w:p>
        </w:tc>
        <w:tc>
          <w:tcPr>
            <w:tcW w:type="dxa" w:w="3408"/>
            <w:vAlign w:val="top"/>
          </w:tcPr>
          <w:p>
            <w:r>
              <w:t>Financial traceability</w:t>
            </w:r>
          </w:p>
        </w:tc>
        <w:tc>
          <w:tcPr>
            <w:tcW w:type="dxa" w:w="3408"/>
            <w:vAlign w:val="top"/>
          </w:tcPr>
          <w:p>
            <w:r>
              <w:t>Mọi thay đổi tài chính/control quan trọng phải truy được ai/khi nào/từ đâu/trước-sau/lý do.</w:t>
            </w:r>
          </w:p>
        </w:tc>
      </w:tr>
    </w:tbl>
    <w:p>
      <w:pPr>
        <w:pStyle w:val="Heading1"/>
      </w:pPr>
      <w:r>
        <w:t>3. Master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Master Object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3408"/>
            <w:vAlign w:val="top"/>
          </w:tcPr>
          <w:p>
            <w:r>
              <w:t>Business Party</w:t>
            </w:r>
          </w:p>
        </w:tc>
        <w:tc>
          <w:tcPr>
            <w:tcW w:type="dxa" w:w="3408"/>
            <w:vAlign w:val="top"/>
          </w:tcPr>
          <w:p>
            <w:r>
              <w:t>Canonical party cho Customer/Vendor/Payer/Payee/Bill-to/Agent/Carrier.</w:t>
            </w:r>
          </w:p>
        </w:tc>
        <w:tc>
          <w:tcPr>
            <w:tcW w:type="dxa" w:w="3408"/>
            <w:vAlign w:val="top"/>
          </w:tcPr>
          <w:p>
            <w:r>
              <w:t>Một party có nhiều business roles; tránh duplicate master theo vai trò.</w:t>
            </w:r>
          </w:p>
        </w:tc>
      </w:tr>
      <w:tr>
        <w:tc>
          <w:tcPr>
            <w:tcW w:type="dxa" w:w="3408"/>
            <w:vAlign w:val="top"/>
          </w:tcPr>
          <w:p>
            <w:r>
              <w:t>Customer</w:t>
            </w:r>
          </w:p>
        </w:tc>
        <w:tc>
          <w:tcPr>
            <w:tcW w:type="dxa" w:w="3408"/>
            <w:vAlign w:val="top"/>
          </w:tcPr>
          <w:p>
            <w:r>
              <w:t>Commercial/receivable role của Business Party.</w:t>
            </w:r>
          </w:p>
        </w:tc>
        <w:tc>
          <w:tcPr>
            <w:tcW w:type="dxa" w:w="3408"/>
            <w:vAlign w:val="top"/>
          </w:tcPr>
          <w:p>
            <w:r>
              <w:t>Customer code, billing attributes, currency/payment terms, status, org scope.</w:t>
            </w:r>
          </w:p>
        </w:tc>
      </w:tr>
      <w:tr>
        <w:tc>
          <w:tcPr>
            <w:tcW w:type="dxa" w:w="3408"/>
            <w:vAlign w:val="top"/>
          </w:tcPr>
          <w:p>
            <w:r>
              <w:t>Vendor/Partner</w:t>
            </w:r>
          </w:p>
        </w:tc>
        <w:tc>
          <w:tcPr>
            <w:tcW w:type="dxa" w:w="3408"/>
            <w:vAlign w:val="top"/>
          </w:tcPr>
          <w:p>
            <w:r>
              <w:t>Supplier/payable role của Business Party.</w:t>
            </w:r>
          </w:p>
        </w:tc>
        <w:tc>
          <w:tcPr>
            <w:tcW w:type="dxa" w:w="3408"/>
            <w:vAlign w:val="top"/>
          </w:tcPr>
          <w:p>
            <w:r>
              <w:t>Vendor code, payment attributes, service capabilities, status, org scope.</w:t>
            </w:r>
          </w:p>
        </w:tc>
      </w:tr>
      <w:tr>
        <w:tc>
          <w:tcPr>
            <w:tcW w:type="dxa" w:w="3408"/>
            <w:vAlign w:val="top"/>
          </w:tcPr>
          <w:p>
            <w:r>
              <w:t>Organization Unit</w:t>
            </w:r>
          </w:p>
        </w:tc>
        <w:tc>
          <w:tcPr>
            <w:tcW w:type="dxa" w:w="3408"/>
            <w:vAlign w:val="top"/>
          </w:tcPr>
          <w:p>
            <w:r>
              <w:t>Company/Branch/Department/Team/Cost Center-like control dimension.</w:t>
            </w:r>
          </w:p>
        </w:tc>
        <w:tc>
          <w:tcPr>
            <w:tcW w:type="dxa" w:w="3408"/>
            <w:vAlign w:val="top"/>
          </w:tcPr>
          <w:p>
            <w:r>
              <w:t>Hierarchy configurable; dùng cho ownership, reporting, permission/data scope.</w:t>
            </w:r>
          </w:p>
        </w:tc>
      </w:tr>
      <w:tr>
        <w:tc>
          <w:tcPr>
            <w:tcW w:type="dxa" w:w="3408"/>
            <w:vAlign w:val="top"/>
          </w:tcPr>
          <w:p>
            <w:r>
              <w:t>User &amp; Role Reference</w:t>
            </w:r>
          </w:p>
        </w:tc>
        <w:tc>
          <w:tcPr>
            <w:tcW w:type="dxa" w:w="3408"/>
            <w:vAlign w:val="top"/>
          </w:tcPr>
          <w:p>
            <w:r>
              <w:t>Identity/business role reference.</w:t>
            </w:r>
          </w:p>
        </w:tc>
        <w:tc>
          <w:tcPr>
            <w:tcW w:type="dxa" w:w="3408"/>
            <w:vAlign w:val="top"/>
          </w:tcPr>
          <w:p>
            <w:r>
              <w:t>Authentication implementation nằm technical design; CP5 định nghĩa business permission model.</w:t>
            </w:r>
          </w:p>
        </w:tc>
      </w:tr>
      <w:tr>
        <w:tc>
          <w:tcPr>
            <w:tcW w:type="dxa" w:w="3408"/>
            <w:vAlign w:val="top"/>
          </w:tcPr>
          <w:p>
            <w:r>
              <w:t>Currency</w:t>
            </w:r>
          </w:p>
        </w:tc>
        <w:tc>
          <w:tcPr>
            <w:tcW w:type="dxa" w:w="3408"/>
            <w:vAlign w:val="top"/>
          </w:tcPr>
          <w:p>
            <w:r>
              <w:t>ISO/business currency master.</w:t>
            </w:r>
          </w:p>
        </w:tc>
        <w:tc>
          <w:tcPr>
            <w:tcW w:type="dxa" w:w="3408"/>
            <w:vAlign w:val="top"/>
          </w:tcPr>
          <w:p>
            <w:r>
              <w:t>Transaction currency + base/reporting currency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t>FX Rate</w:t>
            </w:r>
          </w:p>
        </w:tc>
        <w:tc>
          <w:tcPr>
            <w:tcW w:type="dxa" w:w="3408"/>
            <w:vAlign w:val="top"/>
          </w:tcPr>
          <w:p>
            <w:r>
              <w:t>Rate by pair/date/source/type.</w:t>
            </w:r>
          </w:p>
        </w:tc>
        <w:tc>
          <w:tcPr>
            <w:tcW w:type="dxa" w:w="3408"/>
            <w:vAlign w:val="top"/>
          </w:tcPr>
          <w:p>
            <w:r>
              <w:t>Giữ source/date/rate/version; historical financial facts không silently recalc.</w:t>
            </w:r>
          </w:p>
        </w:tc>
      </w:tr>
      <w:tr>
        <w:tc>
          <w:tcPr>
            <w:tcW w:type="dxa" w:w="3408"/>
            <w:vAlign w:val="top"/>
          </w:tcPr>
          <w:p>
            <w:r>
              <w:t>Service Type</w:t>
            </w:r>
          </w:p>
        </w:tc>
        <w:tc>
          <w:tcPr>
            <w:tcW w:type="dxa" w:w="3408"/>
            <w:vAlign w:val="top"/>
          </w:tcPr>
          <w:p>
            <w:r>
              <w:t>SEA/AIR/ROAD/RAIL/EXPRESS/WAREHOUSE/OTHER... configurable.</w:t>
            </w:r>
          </w:p>
        </w:tc>
        <w:tc>
          <w:tcPr>
            <w:tcW w:type="dxa" w:w="3408"/>
            <w:vAlign w:val="top"/>
          </w:tcPr>
          <w:p>
            <w:r>
              <w:t>Không bắt buộc mọi tenant bật mọi service.</w:t>
            </w:r>
          </w:p>
        </w:tc>
      </w:tr>
      <w:tr>
        <w:tc>
          <w:tcPr>
            <w:tcW w:type="dxa" w:w="3408"/>
            <w:vAlign w:val="top"/>
          </w:tcPr>
          <w:p>
            <w:r>
              <w:t>Cost Type / Category</w:t>
            </w:r>
          </w:p>
        </w:tc>
        <w:tc>
          <w:tcPr>
            <w:tcW w:type="dxa" w:w="3408"/>
            <w:vAlign w:val="top"/>
          </w:tcPr>
          <w:p>
            <w:r>
              <w:t>Nature và management grouping của Cost.</w:t>
            </w:r>
          </w:p>
        </w:tc>
        <w:tc>
          <w:tcPr>
            <w:tcW w:type="dxa" w:w="3408"/>
            <w:vAlign w:val="top"/>
          </w:tcPr>
          <w:p>
            <w:r>
              <w:t>Version/effective date; Pricing Component mapping.</w:t>
            </w:r>
          </w:p>
        </w:tc>
      </w:tr>
      <w:tr>
        <w:tc>
          <w:tcPr>
            <w:tcW w:type="dxa" w:w="3408"/>
            <w:vAlign w:val="top"/>
          </w:tcPr>
          <w:p>
            <w:r>
              <w:t>Revenue Type / Category</w:t>
            </w:r>
          </w:p>
        </w:tc>
        <w:tc>
          <w:tcPr>
            <w:tcW w:type="dxa" w:w="3408"/>
            <w:vAlign w:val="top"/>
          </w:tcPr>
          <w:p>
            <w:r>
              <w:t>Nature và management grouping của Revenue.</w:t>
            </w:r>
          </w:p>
        </w:tc>
        <w:tc>
          <w:tcPr>
            <w:tcW w:type="dxa" w:w="3408"/>
            <w:vAlign w:val="top"/>
          </w:tcPr>
          <w:p>
            <w:r>
              <w:t>Version/effective date; Pricing Component mapping.</w:t>
            </w:r>
          </w:p>
        </w:tc>
      </w:tr>
      <w:tr>
        <w:tc>
          <w:tcPr>
            <w:tcW w:type="dxa" w:w="3408"/>
            <w:vAlign w:val="top"/>
          </w:tcPr>
          <w:p>
            <w:r>
              <w:t>Pricing Component</w:t>
            </w:r>
          </w:p>
        </w:tc>
        <w:tc>
          <w:tcPr>
            <w:tcW w:type="dxa" w:w="3408"/>
            <w:vAlign w:val="top"/>
          </w:tcPr>
          <w:p>
            <w:r>
              <w:t>Charge component dùng Rating và mapping Cost/Revenue Type.</w:t>
            </w:r>
          </w:p>
        </w:tc>
        <w:tc>
          <w:tcPr>
            <w:tcW w:type="dxa" w:w="3408"/>
            <w:vAlign w:val="top"/>
          </w:tcPr>
          <w:p>
            <w:r>
              <w:t>Mapping có direction/scope/effective date.</w:t>
            </w:r>
          </w:p>
        </w:tc>
      </w:tr>
      <w:tr>
        <w:tc>
          <w:tcPr>
            <w:tcW w:type="dxa" w:w="3408"/>
            <w:vAlign w:val="top"/>
          </w:tcPr>
          <w:p>
            <w:r>
              <w:t>Document Type</w:t>
            </w:r>
          </w:p>
        </w:tc>
        <w:tc>
          <w:tcPr>
            <w:tcW w:type="dxa" w:w="3408"/>
            <w:vAlign w:val="top"/>
          </w:tcPr>
          <w:p>
            <w:r>
              <w:t>Debit Note, Supplier Invoice, Customer Invoice, adjustment documents...</w:t>
            </w:r>
          </w:p>
        </w:tc>
        <w:tc>
          <w:tcPr>
            <w:tcW w:type="dxa" w:w="3408"/>
            <w:vAlign w:val="top"/>
          </w:tcPr>
          <w:p>
            <w:r>
              <w:t>Document role/direction/configurable rules.</w:t>
            </w:r>
          </w:p>
        </w:tc>
      </w:tr>
      <w:tr>
        <w:tc>
          <w:tcPr>
            <w:tcW w:type="dxa" w:w="3408"/>
            <w:vAlign w:val="top"/>
          </w:tcPr>
          <w:p>
            <w:r>
              <w:t>Payment Terms</w:t>
            </w:r>
          </w:p>
        </w:tc>
        <w:tc>
          <w:tcPr>
            <w:tcW w:type="dxa" w:w="3408"/>
            <w:vAlign w:val="top"/>
          </w:tcPr>
          <w:p>
            <w:r>
              <w:t>Due-date/payment control reference.</w:t>
            </w:r>
          </w:p>
        </w:tc>
        <w:tc>
          <w:tcPr>
            <w:tcW w:type="dxa" w:w="3408"/>
            <w:vAlign w:val="top"/>
          </w:tcPr>
          <w:p>
            <w:r>
              <w:t>Có thể theo party/document/service/policy.</w:t>
            </w:r>
          </w:p>
        </w:tc>
      </w:tr>
      <w:tr>
        <w:tc>
          <w:tcPr>
            <w:tcW w:type="dxa" w:w="3408"/>
            <w:vAlign w:val="top"/>
          </w:tcPr>
          <w:p>
            <w:r>
              <w:t>Exception/Severity Taxonomy</w:t>
            </w:r>
          </w:p>
        </w:tc>
        <w:tc>
          <w:tcPr>
            <w:tcW w:type="dxa" w:w="3408"/>
            <w:vAlign w:val="top"/>
          </w:tcPr>
          <w:p>
            <w:r>
              <w:t>Control classification.</w:t>
            </w:r>
          </w:p>
        </w:tc>
        <w:tc>
          <w:tcPr>
            <w:tcW w:type="dxa" w:w="3408"/>
            <w:vAlign w:val="top"/>
          </w:tcPr>
          <w:p>
            <w:r>
              <w:t>Severity, SLA, routing, notification configurable.</w:t>
            </w:r>
          </w:p>
        </w:tc>
      </w:tr>
    </w:tbl>
    <w:p>
      <w:pPr>
        <w:pStyle w:val="Heading1"/>
      </w:pPr>
      <w:r>
        <w:t>4. Party &amp; Organization Rules</w:t>
      </w:r>
    </w:p>
    <w:p>
      <w:pPr>
        <w:pStyle w:val="ListBullet"/>
      </w:pPr>
      <w:r>
        <w:t>Customer, Vendor, Payer, Payee và Bill-to Party là roles; không giả định luôn cùng một pháp nhân.</w:t>
      </w:r>
    </w:p>
    <w:p>
      <w:pPr>
        <w:pStyle w:val="ListBullet"/>
      </w:pPr>
      <w:r>
        <w:t>Một Business Party có thể đồng thời là Customer và Vendor nếu business thực tế yêu cầu.</w:t>
      </w:r>
    </w:p>
    <w:p>
      <w:pPr>
        <w:pStyle w:val="ListBullet"/>
      </w:pPr>
      <w:r>
        <w:t>Merge/deactivate master không được xóa lịch sử transaction; historical references vẫn giữ nguyên.</w:t>
      </w:r>
    </w:p>
    <w:p>
      <w:pPr>
        <w:pStyle w:val="ListBullet"/>
      </w:pPr>
      <w:r>
        <w:t>Organization hierarchy phải hỗ trợ company/branch/department/team ở mức cấu hình; không hard-code số tầng.</w:t>
      </w:r>
    </w:p>
    <w:p>
      <w:pPr>
        <w:pStyle w:val="ListBullet"/>
      </w:pPr>
      <w:r>
        <w:t>Financial ownership có thể khác Operational PIC; cả hai cần traceable reference khi có dữ liệu.</w:t>
      </w:r>
    </w:p>
    <w:p>
      <w:pPr>
        <w:pStyle w:val="Heading1"/>
      </w:pPr>
      <w:r>
        <w:t>5. Configuration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Configuration Domain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Ví dụ</w:t>
            </w:r>
          </w:p>
        </w:tc>
        <w:tc>
          <w:tcPr>
            <w:tcW w:type="dxa" w:w="3408"/>
          </w:tcPr>
          <w:p>
            <w:r>
              <w:rPr>
                <w:b/>
              </w:rPr>
              <w:t>Governance</w:t>
            </w:r>
          </w:p>
        </w:tc>
      </w:tr>
      <w:tr>
        <w:tc>
          <w:tcPr>
            <w:tcW w:type="dxa" w:w="3408"/>
            <w:vAlign w:val="top"/>
          </w:tcPr>
          <w:p>
            <w:r>
              <w:t>Tenant Capability</w:t>
            </w:r>
          </w:p>
        </w:tc>
        <w:tc>
          <w:tcPr>
            <w:tcW w:type="dxa" w:w="3408"/>
            <w:vAlign w:val="top"/>
          </w:tcPr>
          <w:p>
            <w:r>
              <w:t>Enable Shipment/Leg/Movement depth, Rating, Budget/Forecast, bank reconciliation...</w:t>
            </w:r>
          </w:p>
        </w:tc>
        <w:tc>
          <w:tcPr>
            <w:tcW w:type="dxa" w:w="3408"/>
            <w:vAlign w:val="top"/>
          </w:tcPr>
          <w:p>
            <w:r>
              <w:t>Capability-based; không edition hard-code.</w:t>
            </w:r>
          </w:p>
        </w:tc>
      </w:tr>
      <w:tr>
        <w:tc>
          <w:tcPr>
            <w:tcW w:type="dxa" w:w="3408"/>
            <w:vAlign w:val="top"/>
          </w:tcPr>
          <w:p>
            <w:r>
              <w:t>Financial Recognition</w:t>
            </w:r>
          </w:p>
        </w:tc>
        <w:tc>
          <w:tcPr>
            <w:tcW w:type="dxa" w:w="3408"/>
            <w:vAlign w:val="top"/>
          </w:tcPr>
          <w:p>
            <w:r>
              <w:t>Revenue Recognition Policy; Cost Actualization Policy; AP/AR recognition behavior.</w:t>
            </w:r>
          </w:p>
        </w:tc>
        <w:tc>
          <w:tcPr>
            <w:tcW w:type="dxa" w:w="3408"/>
            <w:vAlign w:val="top"/>
          </w:tcPr>
          <w:p>
            <w:r>
              <w:t>Versioned/effective-dated; scoped by allowed dimensions.</w:t>
            </w:r>
          </w:p>
        </w:tc>
      </w:tr>
      <w:tr>
        <w:tc>
          <w:tcPr>
            <w:tcW w:type="dxa" w:w="3408"/>
            <w:vAlign w:val="top"/>
          </w:tcPr>
          <w:p>
            <w:r>
              <w:t>Financial Close</w:t>
            </w:r>
          </w:p>
        </w:tc>
        <w:tc>
          <w:tcPr>
            <w:tcW w:type="dxa" w:w="3408"/>
            <w:vAlign w:val="top"/>
          </w:tcPr>
          <w:p>
            <w:r>
              <w:t>Strict/Controlled Close, required completeness, accepted open items.</w:t>
            </w:r>
          </w:p>
        </w:tc>
        <w:tc>
          <w:tcPr>
            <w:tcW w:type="dxa" w:w="3408"/>
            <w:vAlign w:val="top"/>
          </w:tcPr>
          <w:p>
            <w:r>
              <w:t>Kế thừa D-PROF-001; versioned.</w:t>
            </w:r>
          </w:p>
        </w:tc>
      </w:tr>
      <w:tr>
        <w:tc>
          <w:tcPr>
            <w:tcW w:type="dxa" w:w="3408"/>
            <w:vAlign w:val="top"/>
          </w:tcPr>
          <w:p>
            <w:r>
              <w:t>Allocation</w:t>
            </w:r>
          </w:p>
        </w:tc>
        <w:tc>
          <w:tcPr>
            <w:tcW w:type="dxa" w:w="3408"/>
            <w:vAlign w:val="top"/>
          </w:tcPr>
          <w:p>
            <w:r>
              <w:t>Allowed cost allocation bases, rounding, manual override/approval.</w:t>
            </w:r>
          </w:p>
        </w:tc>
        <w:tc>
          <w:tcPr>
            <w:tcW w:type="dxa" w:w="3408"/>
            <w:vAlign w:val="top"/>
          </w:tcPr>
          <w:p>
            <w:r>
              <w:t>Tenant/service/cost type scope.</w:t>
            </w:r>
          </w:p>
        </w:tc>
      </w:tr>
      <w:tr>
        <w:tc>
          <w:tcPr>
            <w:tcW w:type="dxa" w:w="3408"/>
            <w:vAlign w:val="top"/>
          </w:tcPr>
          <w:p>
            <w:r>
              <w:t>Reconciliation</w:t>
            </w:r>
          </w:p>
        </w:tc>
        <w:tc>
          <w:tcPr>
            <w:tcW w:type="dxa" w:w="3408"/>
            <w:vAlign w:val="top"/>
          </w:tcPr>
          <w:p>
            <w:r>
              <w:t>Tolerance, auto-match threshold, candidate rules.</w:t>
            </w:r>
          </w:p>
        </w:tc>
        <w:tc>
          <w:tcPr>
            <w:tcW w:type="dxa" w:w="3408"/>
            <w:vAlign w:val="top"/>
          </w:tcPr>
          <w:p>
            <w:r>
              <w:t>Rule/version traceability.</w:t>
            </w:r>
          </w:p>
        </w:tc>
      </w:tr>
      <w:tr>
        <w:tc>
          <w:tcPr>
            <w:tcW w:type="dxa" w:w="3408"/>
            <w:vAlign w:val="top"/>
          </w:tcPr>
          <w:p>
            <w:r>
              <w:t>Approval</w:t>
            </w:r>
          </w:p>
        </w:tc>
        <w:tc>
          <w:tcPr>
            <w:tcW w:type="dxa" w:w="3408"/>
            <w:vAlign w:val="top"/>
          </w:tcPr>
          <w:p>
            <w:r>
              <w:t>Amount/variance/exception thresholds, levels, maker-checker.</w:t>
            </w:r>
          </w:p>
        </w:tc>
        <w:tc>
          <w:tcPr>
            <w:tcW w:type="dxa" w:w="3408"/>
            <w:vAlign w:val="top"/>
          </w:tcPr>
          <w:p>
            <w:r>
              <w:t>Role + org/data scope; effective-dated.</w:t>
            </w:r>
          </w:p>
        </w:tc>
      </w:tr>
      <w:tr>
        <w:tc>
          <w:tcPr>
            <w:tcW w:type="dxa" w:w="3408"/>
            <w:vAlign w:val="top"/>
          </w:tcPr>
          <w:p>
            <w:r>
              <w:t>Exception</w:t>
            </w:r>
          </w:p>
        </w:tc>
        <w:tc>
          <w:tcPr>
            <w:tcW w:type="dxa" w:w="3408"/>
            <w:vAlign w:val="top"/>
          </w:tcPr>
          <w:p>
            <w:r>
              <w:t>Threshold, severity, SLA, owner/routing, alert policy.</w:t>
            </w:r>
          </w:p>
        </w:tc>
        <w:tc>
          <w:tcPr>
            <w:tcW w:type="dxa" w:w="3408"/>
            <w:vAlign w:val="top"/>
          </w:tcPr>
          <w:p>
            <w:r>
              <w:t>Rule-based and configurable.</w:t>
            </w:r>
          </w:p>
        </w:tc>
      </w:tr>
      <w:tr>
        <w:tc>
          <w:tcPr>
            <w:tcW w:type="dxa" w:w="3408"/>
            <w:vAlign w:val="top"/>
          </w:tcPr>
          <w:p>
            <w:r>
              <w:t>Aging</w:t>
            </w:r>
          </w:p>
        </w:tc>
        <w:tc>
          <w:tcPr>
            <w:tcW w:type="dxa" w:w="3408"/>
            <w:vAlign w:val="top"/>
          </w:tcPr>
          <w:p>
            <w:r>
              <w:t>AP/AR aging buckets, overdue definitions.</w:t>
            </w:r>
          </w:p>
        </w:tc>
        <w:tc>
          <w:tcPr>
            <w:tcW w:type="dxa" w:w="3408"/>
            <w:vAlign w:val="top"/>
          </w:tcPr>
          <w:p>
            <w:r>
              <w:t>Tenant configurable.</w:t>
            </w:r>
          </w:p>
        </w:tc>
      </w:tr>
      <w:tr>
        <w:tc>
          <w:tcPr>
            <w:tcW w:type="dxa" w:w="3408"/>
            <w:vAlign w:val="top"/>
          </w:tcPr>
          <w:p>
            <w:r>
              <w:t>Numbering</w:t>
            </w:r>
          </w:p>
        </w:tc>
        <w:tc>
          <w:tcPr>
            <w:tcW w:type="dxa" w:w="3408"/>
            <w:vAlign w:val="top"/>
          </w:tcPr>
          <w:p>
            <w:r>
              <w:t>Cost/DN/Invoice/Payment/Collection/reference numbering.</w:t>
            </w:r>
          </w:p>
        </w:tc>
        <w:tc>
          <w:tcPr>
            <w:tcW w:type="dxa" w:w="3408"/>
            <w:vAlign w:val="top"/>
          </w:tcPr>
          <w:p>
            <w:r>
              <w:t>Pattern + sequence scope; no duplicate.</w:t>
            </w:r>
          </w:p>
        </w:tc>
      </w:tr>
      <w:tr>
        <w:tc>
          <w:tcPr>
            <w:tcW w:type="dxa" w:w="3408"/>
            <w:vAlign w:val="top"/>
          </w:tcPr>
          <w:p>
            <w:r>
              <w:t>Currency/FX</w:t>
            </w:r>
          </w:p>
        </w:tc>
        <w:tc>
          <w:tcPr>
            <w:tcW w:type="dxa" w:w="3408"/>
            <w:vAlign w:val="top"/>
          </w:tcPr>
          <w:p>
            <w:r>
              <w:t>Base/reporting currency, FX source/type/date basis.</w:t>
            </w:r>
          </w:p>
        </w:tc>
        <w:tc>
          <w:tcPr>
            <w:tcW w:type="dxa" w:w="3408"/>
            <w:vAlign w:val="top"/>
          </w:tcPr>
          <w:p>
            <w:r>
              <w:t>Historical rate traceability.</w:t>
            </w:r>
          </w:p>
        </w:tc>
      </w:tr>
      <w:tr>
        <w:tc>
          <w:tcPr>
            <w:tcW w:type="dxa" w:w="3408"/>
            <w:vAlign w:val="top"/>
          </w:tcPr>
          <w:p>
            <w:r>
              <w:t>Budget/Forecast</w:t>
            </w:r>
          </w:p>
        </w:tc>
        <w:tc>
          <w:tcPr>
            <w:tcW w:type="dxa" w:w="3408"/>
            <w:vAlign w:val="top"/>
          </w:tcPr>
          <w:p>
            <w:r>
              <w:t>Enabled dimensions, period, version rules.</w:t>
            </w:r>
          </w:p>
        </w:tc>
        <w:tc>
          <w:tcPr>
            <w:tcW w:type="dxa" w:w="3408"/>
            <w:vAlign w:val="top"/>
          </w:tcPr>
          <w:p>
            <w:r>
              <w:t>Capability/configuration.</w:t>
            </w:r>
          </w:p>
        </w:tc>
      </w:tr>
    </w:tbl>
    <w:p>
      <w:r>
        <w:t>Configuration Resolution Principle: khi nhiều rule cùng áp dụng, LCMS phải có deterministic precedence (ví dụ Specific Scope &gt; General Scope) và lưu resolved policy/rule version vào transaction/control result khi cần audit.</w:t>
      </w:r>
    </w:p>
    <w:p>
      <w:pPr>
        <w:pStyle w:val="Heading1"/>
      </w:pPr>
      <w:r>
        <w:t>6. Configuration State &amp;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5112"/>
            <w:vAlign w:val="top"/>
          </w:tcPr>
          <w:p>
            <w:r>
              <w:t>Lifecycle</w:t>
            </w:r>
          </w:p>
        </w:tc>
        <w:tc>
          <w:tcPr>
            <w:tcW w:type="dxa" w:w="5112"/>
            <w:vAlign w:val="top"/>
          </w:tcPr>
          <w:p>
            <w:r>
              <w:t>Draft / Active / Inactive / Superseded</w:t>
            </w:r>
          </w:p>
        </w:tc>
      </w:tr>
      <w:tr>
        <w:tc>
          <w:tcPr>
            <w:tcW w:type="dxa" w:w="5112"/>
            <w:vAlign w:val="top"/>
          </w:tcPr>
          <w:p>
            <w:r>
              <w:t>Effective period</w:t>
            </w:r>
          </w:p>
        </w:tc>
        <w:tc>
          <w:tcPr>
            <w:tcW w:type="dxa" w:w="5112"/>
            <w:vAlign w:val="top"/>
          </w:tcPr>
          <w:p>
            <w:r>
              <w:t>effective_from / effective_to</w:t>
            </w:r>
          </w:p>
        </w:tc>
      </w:tr>
      <w:tr>
        <w:tc>
          <w:tcPr>
            <w:tcW w:type="dxa" w:w="5112"/>
            <w:vAlign w:val="top"/>
          </w:tcPr>
          <w:p>
            <w:r>
              <w:t>Version</w:t>
            </w:r>
          </w:p>
        </w:tc>
        <w:tc>
          <w:tcPr>
            <w:tcW w:type="dxa" w:w="5112"/>
            <w:vAlign w:val="top"/>
          </w:tcPr>
          <w:p>
            <w:r>
              <w:t>Immutable published version where historical reproducibility matters</w:t>
            </w:r>
          </w:p>
        </w:tc>
      </w:tr>
      <w:tr>
        <w:tc>
          <w:tcPr>
            <w:tcW w:type="dxa" w:w="5112"/>
            <w:vAlign w:val="top"/>
          </w:tcPr>
          <w:p>
            <w:r>
              <w:t>Change control</w:t>
            </w:r>
          </w:p>
        </w:tc>
        <w:tc>
          <w:tcPr>
            <w:tcW w:type="dxa" w:w="5112"/>
            <w:vAlign w:val="top"/>
          </w:tcPr>
          <w:p>
            <w:r>
              <w:t>Actor, timestamp, reason, old/new values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</w:t>
            </w:r>
          </w:p>
        </w:tc>
        <w:tc>
          <w:tcPr>
            <w:tcW w:type="dxa" w:w="5112"/>
            <w:vAlign w:val="top"/>
          </w:tcPr>
          <w:p>
            <w:r>
              <w:t>Configurable for sensitive financial/control configuration</w:t>
            </w:r>
          </w:p>
        </w:tc>
      </w:tr>
      <w:tr>
        <w:tc>
          <w:tcPr>
            <w:tcW w:type="dxa" w:w="5112"/>
            <w:vAlign w:val="top"/>
          </w:tcPr>
          <w:p>
            <w:r>
              <w:t>Impact handling</w:t>
            </w:r>
          </w:p>
        </w:tc>
        <w:tc>
          <w:tcPr>
            <w:tcW w:type="dxa" w:w="5112"/>
            <w:vAlign w:val="top"/>
          </w:tcPr>
          <w:p>
            <w:r>
              <w:t>Future-only by default; historical recomputation/re-rating/reconciliation phải là explicit controlled action</w:t>
            </w:r>
          </w:p>
        </w:tc>
      </w:tr>
    </w:tbl>
    <w:p>
      <w:r>
        <w:t>Không cho thay đổi master/config làm rewrite silent Financial Snapshot, Rating Snapshot, recognized financial facts hoặc finalized allocations.</w:t>
      </w:r>
    </w:p>
    <w:p>
      <w:pPr>
        <w:pStyle w:val="Heading1"/>
      </w:pPr>
      <w:r>
        <w:t>7. Integration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Business responsibility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Operational System → LCMS</w:t>
            </w:r>
          </w:p>
        </w:tc>
        <w:tc>
          <w:tcPr>
            <w:tcW w:type="dxa" w:w="3408"/>
            <w:vAlign w:val="top"/>
          </w:tcPr>
          <w:p>
            <w:r>
              <w:t>Inbound</w:t>
            </w:r>
          </w:p>
        </w:tc>
        <w:tc>
          <w:tcPr>
            <w:tcW w:type="dxa" w:w="3408"/>
            <w:vAlign w:val="top"/>
          </w:tcPr>
          <w:p>
            <w:r>
              <w:t>Order/Bill/Shipment/Leg/Movement/operational references và participation context.</w:t>
            </w:r>
          </w:p>
        </w:tc>
      </w:tr>
      <w:tr>
        <w:tc>
          <w:tcPr>
            <w:tcW w:type="dxa" w:w="3408"/>
            <w:vAlign w:val="top"/>
          </w:tcPr>
          <w:p>
            <w:r>
              <w:t>Rate/Pricing Sources ↔ LCMS</w:t>
            </w:r>
          </w:p>
        </w:tc>
        <w:tc>
          <w:tcPr>
            <w:tcW w:type="dxa" w:w="3408"/>
            <w:vAlign w:val="top"/>
          </w:tcPr>
          <w:p>
            <w:r>
              <w:t>Inbound/Outbound</w:t>
            </w:r>
          </w:p>
        </w:tc>
        <w:tc>
          <w:tcPr>
            <w:tcW w:type="dxa" w:w="3408"/>
            <w:vAlign w:val="top"/>
          </w:tcPr>
          <w:p>
            <w:r>
              <w:t>Rate cards/rules hoặc rating request/result tùy integration model.</w:t>
            </w:r>
          </w:p>
        </w:tc>
      </w:tr>
      <w:tr>
        <w:tc>
          <w:tcPr>
            <w:tcW w:type="dxa" w:w="3408"/>
            <w:vAlign w:val="top"/>
          </w:tcPr>
          <w:p>
            <w:r>
              <w:t>ERP/Accounting ↔ LCMS</w:t>
            </w:r>
          </w:p>
        </w:tc>
        <w:tc>
          <w:tcPr>
            <w:tcW w:type="dxa" w:w="3408"/>
            <w:vAlign w:val="top"/>
          </w:tcPr>
          <w:p>
            <w:r>
              <w:t>Bi-directional possible</w:t>
            </w:r>
          </w:p>
        </w:tc>
        <w:tc>
          <w:tcPr>
            <w:tcW w:type="dxa" w:w="3408"/>
            <w:vAlign w:val="top"/>
          </w:tcPr>
          <w:p>
            <w:r>
              <w:t>Financial source/recognition, documents, AP/AR, posting/reference và reconciliation; SoT theo configured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t>Bank/Cash Source → LCMS</w:t>
            </w:r>
          </w:p>
        </w:tc>
        <w:tc>
          <w:tcPr>
            <w:tcW w:type="dxa" w:w="3408"/>
            <w:vAlign w:val="top"/>
          </w:tcPr>
          <w:p>
            <w:r>
              <w:t>Inbound</w:t>
            </w:r>
          </w:p>
        </w:tc>
        <w:tc>
          <w:tcPr>
            <w:tcW w:type="dxa" w:w="3408"/>
            <w:vAlign w:val="top"/>
          </w:tcPr>
          <w:p>
            <w:r>
              <w:t>Payment/Collection/bank transaction data phục vụ cash reconciliation.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External Document/API → LCMS</w:t>
            </w:r>
          </w:p>
        </w:tc>
        <w:tc>
          <w:tcPr>
            <w:tcW w:type="dxa" w:w="3408"/>
            <w:vAlign w:val="top"/>
          </w:tcPr>
          <w:p>
            <w:r>
              <w:t>Inbound</w:t>
            </w:r>
          </w:p>
        </w:tc>
        <w:tc>
          <w:tcPr>
            <w:tcW w:type="dxa" w:w="3408"/>
            <w:vAlign w:val="top"/>
          </w:tcPr>
          <w:p>
            <w:r>
              <w:t>DN/Invoice/financial source with source traceability.</w:t>
            </w:r>
          </w:p>
        </w:tc>
      </w:tr>
      <w:tr>
        <w:tc>
          <w:tcPr>
            <w:tcW w:type="dxa" w:w="3408"/>
            <w:vAlign w:val="top"/>
          </w:tcPr>
          <w:p>
            <w:r>
              <w:t>LCMS → BI/Reporting</w:t>
            </w:r>
          </w:p>
        </w:tc>
        <w:tc>
          <w:tcPr>
            <w:tcW w:type="dxa" w:w="3408"/>
            <w:vAlign w:val="top"/>
          </w:tcPr>
          <w:p>
            <w:r>
              <w:t>Outbound</w:t>
            </w:r>
          </w:p>
        </w:tc>
        <w:tc>
          <w:tcPr>
            <w:tcW w:type="dxa" w:w="3408"/>
            <w:vAlign w:val="top"/>
          </w:tcPr>
          <w:p>
            <w:r>
              <w:t>Controlled financial views, profitability, exceptions, snapshots.</w:t>
            </w:r>
          </w:p>
        </w:tc>
      </w:tr>
    </w:tbl>
    <w:p>
      <w:pPr>
        <w:pStyle w:val="ListBullet"/>
      </w:pPr>
      <w:r>
        <w:t>Mỗi integrated record cần Source System, External Object Type, External ID và khi có thể External Version/Event ID.</w:t>
      </w:r>
    </w:p>
    <w:p>
      <w:pPr>
        <w:pStyle w:val="ListBullet"/>
      </w:pPr>
      <w:r>
        <w:t>Idempotency: cùng source+external identity không được tạo duplicate economic/control record.</w:t>
      </w:r>
    </w:p>
    <w:p>
      <w:pPr>
        <w:pStyle w:val="ListBullet"/>
      </w:pPr>
      <w:r>
        <w:t>Integration status tách khỏi business status: Received/Processed/Failed/Partially Processed/Duplicate/Ignored.</w:t>
      </w:r>
    </w:p>
    <w:p>
      <w:pPr>
        <w:pStyle w:val="ListBullet"/>
      </w:pPr>
      <w:r>
        <w:t>Mapping error không được tự suy đoán thành financial fact; phải vào exception/review khi material.</w:t>
      </w:r>
    </w:p>
    <w:p>
      <w:pPr>
        <w:pStyle w:val="ListBullet"/>
      </w:pPr>
      <w:r>
        <w:t>Retry không tạo duplicate; integration log giữ payload reference/hash/metadata phù hợp với security policy.</w:t>
      </w:r>
    </w:p>
    <w:p>
      <w:pPr>
        <w:pStyle w:val="ListBullet"/>
      </w:pPr>
      <w:r>
        <w:t>API/technical schema, endpoint, auth protocol và message broker sẽ thiết kế ở Technical Design, không khóa trong BA Blueprint.</w:t>
      </w:r>
    </w:p>
    <w:p>
      <w:pPr>
        <w:pStyle w:val="Heading1"/>
      </w:pPr>
      <w:r>
        <w:t>8. Security &amp; Permission Model</w:t>
      </w:r>
    </w:p>
    <w:p>
      <w:r>
        <w:t>Permission được mô hình hóa tối thiểu theo ba chiều độc lập:</w:t>
      </w:r>
    </w:p>
    <w:p>
      <w:r>
        <w:t>User/Role  ×  Action Permission  ×  Data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08"/>
            <w:vAlign w:val="top"/>
          </w:tcPr>
          <w:p>
            <w:r>
              <w:t>Role</w:t>
            </w:r>
          </w:p>
        </w:tc>
        <w:tc>
          <w:tcPr>
            <w:tcW w:type="dxa" w:w="3408"/>
            <w:vAlign w:val="top"/>
          </w:tcPr>
          <w:p>
            <w:r>
              <w:t>Finance User, Controller, Manager, Admin, Viewer, Integration Service.</w:t>
            </w:r>
          </w:p>
        </w:tc>
        <w:tc>
          <w:tcPr>
            <w:tcW w:type="dxa" w:w="3408"/>
            <w:vAlign w:val="top"/>
          </w:tcPr>
          <w:p>
            <w:r>
              <w:t>Role là bundle permission; tenant có thể cấu hình role.</w:t>
            </w:r>
          </w:p>
        </w:tc>
      </w:tr>
      <w:tr>
        <w:tc>
          <w:tcPr>
            <w:tcW w:type="dxa" w:w="3408"/>
            <w:vAlign w:val="top"/>
          </w:tcPr>
          <w:p>
            <w:r>
              <w:t>Action</w:t>
            </w:r>
          </w:p>
        </w:tc>
        <w:tc>
          <w:tcPr>
            <w:tcW w:type="dxa" w:w="3408"/>
            <w:vAlign w:val="top"/>
          </w:tcPr>
          <w:p>
            <w:r>
              <w:t>View/Create/Edit/Submit/Approve/Reject/Cancel/Reverse/Allocate/Match/Close/Reopen/Export/Configure.</w:t>
            </w:r>
          </w:p>
        </w:tc>
        <w:tc>
          <w:tcPr>
            <w:tcW w:type="dxa" w:w="3408"/>
            <w:vAlign w:val="top"/>
          </w:tcPr>
          <w:p>
            <w:r>
              <w:t>Permission theo object + action.</w:t>
            </w:r>
          </w:p>
        </w:tc>
      </w:tr>
      <w:tr>
        <w:tc>
          <w:tcPr>
            <w:tcW w:type="dxa" w:w="3408"/>
            <w:vAlign w:val="top"/>
          </w:tcPr>
          <w:p>
            <w:r>
              <w:t>Data Scope</w:t>
            </w:r>
          </w:p>
        </w:tc>
        <w:tc>
          <w:tcPr>
            <w:tcW w:type="dxa" w:w="3408"/>
            <w:vAlign w:val="top"/>
          </w:tcPr>
          <w:p>
            <w:r>
              <w:t>Own / Team / Department / Branch / Company / Assigned Parties / All Authorized.</w:t>
            </w:r>
          </w:p>
        </w:tc>
        <w:tc>
          <w:tcPr>
            <w:tcW w:type="dxa" w:w="3408"/>
            <w:vAlign w:val="top"/>
          </w:tcPr>
          <w:p>
            <w:r>
              <w:t>Không suy ra data scope chỉ từ role name.</w:t>
            </w:r>
          </w:p>
        </w:tc>
      </w:tr>
      <w:tr>
        <w:tc>
          <w:tcPr>
            <w:tcW w:type="dxa" w:w="3408"/>
            <w:vAlign w:val="top"/>
          </w:tcPr>
          <w:p>
            <w:r>
              <w:t>Amount/Risk Scope</w:t>
            </w:r>
          </w:p>
        </w:tc>
        <w:tc>
          <w:tcPr>
            <w:tcW w:type="dxa" w:w="3408"/>
            <w:vAlign w:val="top"/>
          </w:tcPr>
          <w:p>
            <w:r>
              <w:t>Approval/override giới hạn theo amount/severity/risk.</w:t>
            </w:r>
          </w:p>
        </w:tc>
        <w:tc>
          <w:tcPr>
            <w:tcW w:type="dxa" w:w="3408"/>
            <w:vAlign w:val="top"/>
          </w:tcPr>
          <w:p>
            <w:r>
              <w:t>Có thể kết hợp với workflow.</w:t>
            </w:r>
          </w:p>
        </w:tc>
      </w:tr>
      <w:tr>
        <w:tc>
          <w:tcPr>
            <w:tcW w:type="dxa" w:w="3408"/>
            <w:vAlign w:val="top"/>
          </w:tcPr>
          <w:p>
            <w:r>
              <w:t>Sensitive Field Access</w:t>
            </w:r>
          </w:p>
        </w:tc>
        <w:tc>
          <w:tcPr>
            <w:tcW w:type="dxa" w:w="3408"/>
            <w:vAlign w:val="top"/>
          </w:tcPr>
          <w:p>
            <w:r>
              <w:t>Cost, margin, vendor rate, customer rate, bank/payment data.</w:t>
            </w:r>
          </w:p>
        </w:tc>
        <w:tc>
          <w:tcPr>
            <w:tcW w:type="dxa" w:w="3408"/>
            <w:vAlign w:val="top"/>
          </w:tcPr>
          <w:p>
            <w:r>
              <w:t>Có thể mask/hide theo permission.</w:t>
            </w:r>
          </w:p>
        </w:tc>
      </w:tr>
    </w:tbl>
    <w:p>
      <w:pPr>
        <w:pStyle w:val="ListBullet"/>
      </w:pPr>
      <w:r>
        <w:t>View Cost không mặc nhiên cho phép View Revenue/Margin; quyền có thể tách.</w:t>
      </w:r>
    </w:p>
    <w:p>
      <w:pPr>
        <w:pStyle w:val="ListBullet"/>
      </w:pPr>
      <w:r>
        <w:t>View transaction không mặc nhiên cho phép xem attached sensitive documents hoặc bank details.</w:t>
      </w:r>
    </w:p>
    <w:p>
      <w:pPr>
        <w:pStyle w:val="ListBullet"/>
      </w:pPr>
      <w:r>
        <w:t>Export là permission riêng khi dữ liệu tài chính nhạy cảm.</w:t>
      </w:r>
    </w:p>
    <w:p>
      <w:pPr>
        <w:pStyle w:val="ListBullet"/>
      </w:pPr>
      <w:r>
        <w:t>Configure policy/master quan trọng là privileged action và phải audit.</w:t>
      </w:r>
    </w:p>
    <w:p>
      <w:pPr>
        <w:pStyle w:val="ListBullet"/>
      </w:pPr>
      <w:r>
        <w:t>System/integration identity có service permissions riêng, không dùng human role giả lập.</w:t>
      </w:r>
    </w:p>
    <w:p>
      <w:pPr>
        <w:pStyle w:val="Heading1"/>
      </w:pPr>
      <w:r>
        <w:t>9. Segregation of Duties (SoD)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Conflict / Control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Baseline</w:t>
            </w:r>
          </w:p>
        </w:tc>
      </w:tr>
      <w:tr>
        <w:tc>
          <w:tcPr>
            <w:tcW w:type="dxa" w:w="5112"/>
            <w:vAlign w:val="top"/>
          </w:tcPr>
          <w:p>
            <w:r>
              <w:t>Create/Modify ↔ Approve</w:t>
            </w:r>
          </w:p>
        </w:tc>
        <w:tc>
          <w:tcPr>
            <w:tcW w:type="dxa" w:w="5112"/>
            <w:vAlign w:val="top"/>
          </w:tcPr>
          <w:p>
            <w:r>
              <w:t>Maker-checker configurable cho object/action/value quan trọng.</w:t>
            </w:r>
          </w:p>
        </w:tc>
      </w:tr>
      <w:tr>
        <w:tc>
          <w:tcPr>
            <w:tcW w:type="dxa" w:w="5112"/>
            <w:vAlign w:val="top"/>
          </w:tcPr>
          <w:p>
            <w:r>
              <w:t>Payment preparation ↔ Payment approval</w:t>
            </w:r>
          </w:p>
        </w:tc>
        <w:tc>
          <w:tcPr>
            <w:tcW w:type="dxa" w:w="5112"/>
            <w:vAlign w:val="top"/>
          </w:tcPr>
          <w:p>
            <w:r>
              <w:t>Có thể tách role theo tenant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Manual Match/Override ↔ Approval</w:t>
            </w:r>
          </w:p>
        </w:tc>
        <w:tc>
          <w:tcPr>
            <w:tcW w:type="dxa" w:w="5112"/>
            <w:vAlign w:val="top"/>
          </w:tcPr>
          <w:p>
            <w:r>
              <w:t>Override có reason/audit; approval configurable theo threshold.</w:t>
            </w:r>
          </w:p>
        </w:tc>
      </w:tr>
      <w:tr>
        <w:tc>
          <w:tcPr>
            <w:tcW w:type="dxa" w:w="5112"/>
            <w:vAlign w:val="top"/>
          </w:tcPr>
          <w:p>
            <w:r>
              <w:t>Close ↔ Reopen</w:t>
            </w:r>
          </w:p>
        </w:tc>
        <w:tc>
          <w:tcPr>
            <w:tcW w:type="dxa" w:w="5112"/>
            <w:vAlign w:val="top"/>
          </w:tcPr>
          <w:p>
            <w:r>
              <w:t>Reopen là quyền riêng, thường cao hơn Close.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Configuration change ↔ Configuration approval</w:t>
            </w:r>
          </w:p>
        </w:tc>
        <w:tc>
          <w:tcPr>
            <w:tcW w:type="dxa" w:w="5112"/>
            <w:vAlign w:val="top"/>
          </w:tcPr>
          <w:p>
            <w:r>
              <w:t>Sensitive policy/rule changes có thể yêu cầu approval.</w:t>
            </w:r>
          </w:p>
        </w:tc>
      </w:tr>
      <w:tr>
        <w:tc>
          <w:tcPr>
            <w:tcW w:type="dxa" w:w="5112"/>
            <w:vAlign w:val="top"/>
          </w:tcPr>
          <w:p>
            <w:r>
              <w:t>Admin ↔ Financial approval</w:t>
            </w:r>
          </w:p>
        </w:tc>
        <w:tc>
          <w:tcPr>
            <w:tcW w:type="dxa" w:w="5112"/>
            <w:vAlign w:val="top"/>
          </w:tcPr>
          <w:p>
            <w:r>
              <w:t>System administration không tự động cấp financial approval authority.</w:t>
            </w:r>
          </w:p>
        </w:tc>
      </w:tr>
    </w:tbl>
    <w:p>
      <w:pPr>
        <w:pStyle w:val="Heading1"/>
      </w:pPr>
      <w:r>
        <w:t>10. Audit, Data Governance &amp;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Audit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Minimum trace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 transaction</w:t>
            </w:r>
          </w:p>
        </w:tc>
        <w:tc>
          <w:tcPr>
            <w:tcW w:type="dxa" w:w="5112"/>
            <w:vAlign w:val="top"/>
          </w:tcPr>
          <w:p>
            <w:r>
              <w:t>Create/update/state transition, actor, timestamp, source, before/after material fields.</w:t>
            </w:r>
          </w:p>
        </w:tc>
      </w:tr>
      <w:tr>
        <w:tc>
          <w:tcPr>
            <w:tcW w:type="dxa" w:w="5112"/>
            <w:vAlign w:val="top"/>
          </w:tcPr>
          <w:p>
            <w:r>
              <w:t>Matching/Allocation</w:t>
            </w:r>
          </w:p>
        </w:tc>
        <w:tc>
          <w:tcPr>
            <w:tcW w:type="dxa" w:w="5112"/>
            <w:vAlign w:val="top"/>
          </w:tcPr>
          <w:p>
            <w:r>
              <w:t>Candidate/source, rule/version, amount, override, reverse/supersede history.</w:t>
            </w:r>
          </w:p>
        </w:tc>
      </w:tr>
      <w:tr>
        <w:tc>
          <w:tcPr>
            <w:tcW w:type="dxa" w:w="5112"/>
            <w:vAlign w:val="top"/>
          </w:tcPr>
          <w:p>
            <w:r>
              <w:t>Approval</w:t>
            </w:r>
          </w:p>
        </w:tc>
        <w:tc>
          <w:tcPr>
            <w:tcW w:type="dxa" w:w="5112"/>
            <w:vAlign w:val="top"/>
          </w:tcPr>
          <w:p>
            <w:r>
              <w:t>Requester, approver, decision, timestamp, comments/reason.</w:t>
            </w:r>
          </w:p>
        </w:tc>
      </w:tr>
      <w:tr>
        <w:tc>
          <w:tcPr>
            <w:tcW w:type="dxa" w:w="5112"/>
            <w:vAlign w:val="top"/>
          </w:tcPr>
          <w:p>
            <w:r>
              <w:t>Configuration</w:t>
            </w:r>
          </w:p>
        </w:tc>
        <w:tc>
          <w:tcPr>
            <w:tcW w:type="dxa" w:w="5112"/>
            <w:vAlign w:val="top"/>
          </w:tcPr>
          <w:p>
            <w:r>
              <w:t>Old/new value, version, effective date, actor, approval if required.</w:t>
            </w:r>
          </w:p>
        </w:tc>
      </w:tr>
      <w:tr>
        <w:tc>
          <w:tcPr>
            <w:tcW w:type="dxa" w:w="5112"/>
            <w:vAlign w:val="top"/>
          </w:tcPr>
          <w:p>
            <w:r>
              <w:t>Integration</w:t>
            </w:r>
          </w:p>
        </w:tc>
        <w:tc>
          <w:tcPr>
            <w:tcW w:type="dxa" w:w="5112"/>
            <w:vAlign w:val="top"/>
          </w:tcPr>
          <w:p>
            <w:r>
              <w:t>Source, external identity, receive/process status, error/duplicate handling.</w:t>
            </w:r>
          </w:p>
        </w:tc>
      </w:tr>
      <w:tr>
        <w:tc>
          <w:tcPr>
            <w:tcW w:type="dxa" w:w="5112"/>
            <w:vAlign w:val="top"/>
          </w:tcPr>
          <w:p>
            <w:r>
              <w:t>Security</w:t>
            </w:r>
          </w:p>
        </w:tc>
        <w:tc>
          <w:tcPr>
            <w:tcW w:type="dxa" w:w="5112"/>
            <w:vAlign w:val="top"/>
          </w:tcPr>
          <w:p>
            <w:r>
              <w:t>Role/permission/config changes; sensitive administrative actions.</w:t>
            </w:r>
          </w:p>
        </w:tc>
      </w:tr>
      <w:tr>
        <w:tc>
          <w:tcPr>
            <w:tcW w:type="dxa" w:w="5112"/>
            <w:vAlign w:val="top"/>
          </w:tcPr>
          <w:p>
            <w:r>
              <w:t>Close/Snapshot</w:t>
            </w:r>
          </w:p>
        </w:tc>
        <w:tc>
          <w:tcPr>
            <w:tcW w:type="dxa" w:w="5112"/>
            <w:vAlign w:val="top"/>
          </w:tcPr>
          <w:p>
            <w:r>
              <w:t>Close/reopen/reclose actor, policy/version, snapshot identity.</w:t>
            </w:r>
          </w:p>
        </w:tc>
      </w:tr>
    </w:tbl>
    <w:p>
      <w:r>
        <w:t>Retention duration, archival tier và legal retention period là tenant/regulatory configuration; CP5 yêu cầu khả năng cấu hình và không hard-delete historical financial audit records.</w:t>
      </w:r>
    </w:p>
    <w:p>
      <w:pPr>
        <w:pStyle w:val="Heading1"/>
      </w:pPr>
      <w:r>
        <w:t>11. Core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top"/>
          </w:tcPr>
          <w:p>
            <w:r>
              <w:t>BR-MD-001</w:t>
            </w:r>
          </w:p>
        </w:tc>
        <w:tc>
          <w:tcPr>
            <w:tcW w:type="dxa" w:w="5112"/>
            <w:vAlign w:val="top"/>
          </w:tcPr>
          <w:p>
            <w:r>
              <w:t>Business Party là canonical party; Customer/Vendor/Payer/Payee/Bill-to là business roles.</w:t>
            </w:r>
          </w:p>
        </w:tc>
      </w:tr>
      <w:tr>
        <w:tc>
          <w:tcPr>
            <w:tcW w:type="dxa" w:w="5112"/>
            <w:vAlign w:val="top"/>
          </w:tcPr>
          <w:p>
            <w:r>
              <w:t>BR-MD-002</w:t>
            </w:r>
          </w:p>
        </w:tc>
        <w:tc>
          <w:tcPr>
            <w:tcW w:type="dxa" w:w="5112"/>
            <w:vAlign w:val="top"/>
          </w:tcPr>
          <w:p>
            <w:r>
              <w:t>Deactivation/merge master không xóa historical references.</w:t>
            </w:r>
          </w:p>
        </w:tc>
      </w:tr>
      <w:tr>
        <w:tc>
          <w:tcPr>
            <w:tcW w:type="dxa" w:w="5112"/>
            <w:vAlign w:val="top"/>
          </w:tcPr>
          <w:p>
            <w:r>
              <w:t>BR-MD-003</w:t>
            </w:r>
          </w:p>
        </w:tc>
        <w:tc>
          <w:tcPr>
            <w:tcW w:type="dxa" w:w="5112"/>
            <w:vAlign w:val="top"/>
          </w:tcPr>
          <w:p>
            <w:r>
              <w:t>Financial taxonomy quan trọng phải version/effective-date khi thay đổi ảnh hưởng interpretation.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BR-CFG-001</w:t>
            </w:r>
          </w:p>
        </w:tc>
        <w:tc>
          <w:tcPr>
            <w:tcW w:type="dxa" w:w="5112"/>
            <w:vAlign w:val="top"/>
          </w:tcPr>
          <w:p>
            <w:r>
              <w:t>Tenant capability cấu hình trên một Core Model; không fork business architecture.</w:t>
            </w:r>
          </w:p>
        </w:tc>
      </w:tr>
      <w:tr>
        <w:tc>
          <w:tcPr>
            <w:tcW w:type="dxa" w:w="5112"/>
            <w:vAlign w:val="top"/>
          </w:tcPr>
          <w:p>
            <w:r>
              <w:t>BR-CFG-002</w:t>
            </w:r>
          </w:p>
        </w:tc>
        <w:tc>
          <w:tcPr>
            <w:tcW w:type="dxa" w:w="5112"/>
            <w:vAlign w:val="top"/>
          </w:tcPr>
          <w:p>
            <w:r>
              <w:t>Policy resolution phải deterministic và traceable.</w:t>
            </w:r>
          </w:p>
        </w:tc>
      </w:tr>
      <w:tr>
        <w:tc>
          <w:tcPr>
            <w:tcW w:type="dxa" w:w="5112"/>
            <w:vAlign w:val="top"/>
          </w:tcPr>
          <w:p>
            <w:r>
              <w:t>BR-CFG-003</w:t>
            </w:r>
          </w:p>
        </w:tc>
        <w:tc>
          <w:tcPr>
            <w:tcW w:type="dxa" w:w="5112"/>
            <w:vAlign w:val="top"/>
          </w:tcPr>
          <w:p>
            <w:r>
              <w:t>Published configuration không silently rewrite historical financial facts/results.</w:t>
            </w:r>
          </w:p>
        </w:tc>
      </w:tr>
      <w:tr>
        <w:tc>
          <w:tcPr>
            <w:tcW w:type="dxa" w:w="5112"/>
            <w:vAlign w:val="top"/>
          </w:tcPr>
          <w:p>
            <w:r>
              <w:t>BR-CFG-004</w:t>
            </w:r>
          </w:p>
        </w:tc>
        <w:tc>
          <w:tcPr>
            <w:tcW w:type="dxa" w:w="5112"/>
            <w:vAlign w:val="top"/>
          </w:tcPr>
          <w:p>
            <w:r>
              <w:t>Sensitive configuration changes phải audit; approval tùy policy.</w:t>
            </w:r>
          </w:p>
        </w:tc>
      </w:tr>
      <w:tr>
        <w:tc>
          <w:tcPr>
            <w:tcW w:type="dxa" w:w="5112"/>
            <w:vAlign w:val="top"/>
          </w:tcPr>
          <w:p>
            <w:r>
              <w:t>BR-INT-001</w:t>
            </w:r>
          </w:p>
        </w:tc>
        <w:tc>
          <w:tcPr>
            <w:tcW w:type="dxa" w:w="5112"/>
            <w:vAlign w:val="top"/>
          </w:tcPr>
          <w:p>
            <w:r>
              <w:t>Integrated records phải có source + external identity đủ để chống duplicate.</w:t>
            </w:r>
          </w:p>
        </w:tc>
      </w:tr>
      <w:tr>
        <w:tc>
          <w:tcPr>
            <w:tcW w:type="dxa" w:w="5112"/>
            <w:vAlign w:val="top"/>
          </w:tcPr>
          <w:p>
            <w:r>
              <w:t>BR-INT-002</w:t>
            </w:r>
          </w:p>
        </w:tc>
        <w:tc>
          <w:tcPr>
            <w:tcW w:type="dxa" w:w="5112"/>
            <w:vAlign w:val="top"/>
          </w:tcPr>
          <w:p>
            <w:r>
              <w:t>Retry/import lại không tạo duplicate economic transaction.</w:t>
            </w:r>
          </w:p>
        </w:tc>
      </w:tr>
      <w:tr>
        <w:tc>
          <w:tcPr>
            <w:tcW w:type="dxa" w:w="5112"/>
            <w:vAlign w:val="top"/>
          </w:tcPr>
          <w:p>
            <w:r>
              <w:t>BR-INT-003</w:t>
            </w:r>
          </w:p>
        </w:tc>
        <w:tc>
          <w:tcPr>
            <w:tcW w:type="dxa" w:w="5112"/>
            <w:vAlign w:val="top"/>
          </w:tcPr>
          <w:p>
            <w:r>
              <w:t>Integration status tách khỏi business/financial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t>BR-INT-004</w:t>
            </w:r>
          </w:p>
        </w:tc>
        <w:tc>
          <w:tcPr>
            <w:tcW w:type="dxa" w:w="5112"/>
            <w:vAlign w:val="top"/>
          </w:tcPr>
          <w:p>
            <w:r>
              <w:t>Material mapping failure phải review/exception, không tự tạo financial fact bằng suy đoán.</w:t>
            </w:r>
          </w:p>
        </w:tc>
      </w:tr>
      <w:tr>
        <w:tc>
          <w:tcPr>
            <w:tcW w:type="dxa" w:w="5112"/>
            <w:vAlign w:val="top"/>
          </w:tcPr>
          <w:p>
            <w:r>
              <w:t>BR-SEC-001</w:t>
            </w:r>
          </w:p>
        </w:tc>
        <w:tc>
          <w:tcPr>
            <w:tcW w:type="dxa" w:w="5112"/>
            <w:vAlign w:val="top"/>
          </w:tcPr>
          <w:p>
            <w:r>
              <w:t>Action Permission và Data Scope là độc lập.</w:t>
            </w:r>
          </w:p>
        </w:tc>
      </w:tr>
      <w:tr>
        <w:tc>
          <w:tcPr>
            <w:tcW w:type="dxa" w:w="5112"/>
            <w:vAlign w:val="top"/>
          </w:tcPr>
          <w:p>
            <w:r>
              <w:t>BR-SEC-002</w:t>
            </w:r>
          </w:p>
        </w:tc>
        <w:tc>
          <w:tcPr>
            <w:tcW w:type="dxa" w:w="5112"/>
            <w:vAlign w:val="top"/>
          </w:tcPr>
          <w:p>
            <w:r>
              <w:t>Permission không đồng nghĩa Approval authority.</w:t>
            </w:r>
          </w:p>
        </w:tc>
      </w:tr>
      <w:tr>
        <w:tc>
          <w:tcPr>
            <w:tcW w:type="dxa" w:w="5112"/>
            <w:vAlign w:val="top"/>
          </w:tcPr>
          <w:p>
            <w:r>
              <w:t>BR-SEC-003</w:t>
            </w:r>
          </w:p>
        </w:tc>
        <w:tc>
          <w:tcPr>
            <w:tcW w:type="dxa" w:w="5112"/>
            <w:vAlign w:val="top"/>
          </w:tcPr>
          <w:p>
            <w:r>
              <w:t>Least privilege áp dụng cho human và service identities.</w:t>
            </w:r>
          </w:p>
        </w:tc>
      </w:tr>
      <w:tr>
        <w:tc>
          <w:tcPr>
            <w:tcW w:type="dxa" w:w="5112"/>
            <w:vAlign w:val="top"/>
          </w:tcPr>
          <w:p>
            <w:r>
              <w:t>BR-SEC-004</w:t>
            </w:r>
          </w:p>
        </w:tc>
        <w:tc>
          <w:tcPr>
            <w:tcW w:type="dxa" w:w="5112"/>
            <w:vAlign w:val="top"/>
          </w:tcPr>
          <w:p>
            <w:r>
              <w:t>Export/sensitive financial fields có thể có permission riêng.</w:t>
            </w:r>
          </w:p>
        </w:tc>
      </w:tr>
      <w:tr>
        <w:tc>
          <w:tcPr>
            <w:tcW w:type="dxa" w:w="5112"/>
            <w:vAlign w:val="top"/>
          </w:tcPr>
          <w:p>
            <w:r>
              <w:t>BR-SEC-005</w:t>
            </w:r>
          </w:p>
        </w:tc>
        <w:tc>
          <w:tcPr>
            <w:tcW w:type="dxa" w:w="5112"/>
            <w:vAlign w:val="top"/>
          </w:tcPr>
          <w:p>
            <w:r>
              <w:t>SoD/maker-checker configurable cho financial actions quan trọng.</w:t>
            </w:r>
          </w:p>
        </w:tc>
      </w:tr>
      <w:tr>
        <w:tc>
          <w:tcPr>
            <w:tcW w:type="dxa" w:w="5112"/>
            <w:vAlign w:val="top"/>
          </w:tcPr>
          <w:p>
            <w:r>
              <w:t>BR-AUD-001</w:t>
            </w:r>
          </w:p>
        </w:tc>
        <w:tc>
          <w:tcPr>
            <w:tcW w:type="dxa" w:w="5112"/>
            <w:vAlign w:val="top"/>
          </w:tcPr>
          <w:p>
            <w:r>
              <w:t>Financial/control/config/security changes quan trọng phải có audit trail.</w:t>
            </w:r>
          </w:p>
        </w:tc>
      </w:tr>
      <w:tr>
        <w:tc>
          <w:tcPr>
            <w:tcW w:type="dxa" w:w="5112"/>
            <w:vAlign w:val="top"/>
          </w:tcPr>
          <w:p>
            <w:r>
              <w:t>BR-AUD-002</w:t>
            </w:r>
          </w:p>
        </w:tc>
        <w:tc>
          <w:tcPr>
            <w:tcW w:type="dxa" w:w="5112"/>
            <w:vAlign w:val="top"/>
          </w:tcPr>
          <w:p>
            <w:r>
              <w:t>Historical financial audit records không hard-delete theo thao tác thông thường.</w:t>
            </w:r>
          </w:p>
        </w:tc>
      </w:tr>
    </w:tbl>
    <w:p>
      <w:pPr>
        <w:pStyle w:val="Heading1"/>
      </w:pPr>
      <w:r>
        <w:t>12. Permission Matrix —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</w:rPr>
              <w:t>Object/Capability</w:t>
            </w:r>
          </w:p>
        </w:tc>
        <w:tc>
          <w:tcPr>
            <w:tcW w:type="dxa" w:w="2045"/>
          </w:tcPr>
          <w:p>
            <w:r>
              <w:rPr>
                <w:b/>
              </w:rPr>
              <w:t>View</w:t>
            </w:r>
          </w:p>
        </w:tc>
        <w:tc>
          <w:tcPr>
            <w:tcW w:type="dxa" w:w="2045"/>
          </w:tcPr>
          <w:p>
            <w:r>
              <w:rPr>
                <w:b/>
              </w:rPr>
              <w:t>Create/Edit</w:t>
            </w:r>
          </w:p>
        </w:tc>
        <w:tc>
          <w:tcPr>
            <w:tcW w:type="dxa" w:w="2045"/>
          </w:tcPr>
          <w:p>
            <w:r>
              <w:rPr>
                <w:b/>
              </w:rPr>
              <w:t>Approve/Override</w:t>
            </w:r>
          </w:p>
        </w:tc>
        <w:tc>
          <w:tcPr>
            <w:tcW w:type="dxa" w:w="2045"/>
          </w:tcPr>
          <w:p>
            <w:r>
              <w:rPr>
                <w:b/>
              </w:rPr>
              <w:t>Special Controls</w:t>
            </w:r>
          </w:p>
        </w:tc>
      </w:tr>
      <w:tr>
        <w:tc>
          <w:tcPr>
            <w:tcW w:type="dxa" w:w="2045"/>
            <w:vAlign w:val="top"/>
          </w:tcPr>
          <w:p>
            <w:r>
              <w:t>Cost/Revenue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By policy</w:t>
            </w:r>
          </w:p>
        </w:tc>
        <w:tc>
          <w:tcPr>
            <w:tcW w:type="dxa" w:w="2045"/>
            <w:vAlign w:val="top"/>
          </w:tcPr>
          <w:p>
            <w:r>
              <w:t>Margin visibility may be separate</w:t>
            </w:r>
          </w:p>
        </w:tc>
      </w:tr>
      <w:tr>
        <w:tc>
          <w:tcPr>
            <w:tcW w:type="dxa" w:w="2045"/>
            <w:vAlign w:val="top"/>
          </w:tcPr>
          <w:p>
            <w:r>
              <w:t>Rate &amp; Pricing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Sensitive changes configurable</w:t>
            </w:r>
          </w:p>
        </w:tc>
        <w:tc>
          <w:tcPr>
            <w:tcW w:type="dxa" w:w="2045"/>
            <w:vAlign w:val="top"/>
          </w:tcPr>
          <w:p>
            <w:r>
              <w:t>Customer/Vendor rates can be separately protected</w:t>
            </w:r>
          </w:p>
        </w:tc>
      </w:tr>
      <w:tr>
        <w:tc>
          <w:tcPr>
            <w:tcW w:type="dxa" w:w="2045"/>
            <w:vAlign w:val="top"/>
          </w:tcPr>
          <w:p>
            <w:r>
              <w:t>Financial Documents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Accept/Reject by permission</w:t>
            </w:r>
          </w:p>
        </w:tc>
        <w:tc>
          <w:tcPr>
            <w:tcW w:type="dxa" w:w="2045"/>
            <w:vAlign w:val="top"/>
          </w:tcPr>
          <w:p>
            <w:r>
              <w:t>Attachment access can be separate</w:t>
            </w:r>
          </w:p>
        </w:tc>
      </w:tr>
      <w:tr>
        <w:tc>
          <w:tcPr>
            <w:tcW w:type="dxa" w:w="2045"/>
            <w:vAlign w:val="top"/>
          </w:tcPr>
          <w:p>
            <w:r>
              <w:t>AP/AR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Recognition/adjustment by policy</w:t>
            </w:r>
          </w:p>
        </w:tc>
        <w:tc>
          <w:tcPr>
            <w:tcW w:type="dxa" w:w="2045"/>
            <w:vAlign w:val="top"/>
          </w:tcPr>
          <w:p>
            <w:r>
              <w:t>Counterparty/org scope</w:t>
            </w:r>
          </w:p>
        </w:tc>
      </w:tr>
      <w:tr>
        <w:tc>
          <w:tcPr>
            <w:tcW w:type="dxa" w:w="2045"/>
            <w:vAlign w:val="top"/>
          </w:tcPr>
          <w:p>
            <w:r>
              <w:t>Payment/Collection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Approval by policy</w:t>
            </w:r>
          </w:p>
        </w:tc>
        <w:tc>
          <w:tcPr>
            <w:tcW w:type="dxa" w:w="2045"/>
            <w:vAlign w:val="top"/>
          </w:tcPr>
          <w:p>
            <w:r>
              <w:t>Bank detail sensitivity</w:t>
            </w:r>
          </w:p>
        </w:tc>
      </w:tr>
      <w:tr>
        <w:tc>
          <w:tcPr>
            <w:tcW w:type="dxa" w:w="2045"/>
            <w:vAlign w:val="top"/>
          </w:tcPr>
          <w:p>
            <w:r>
              <w:t>Allocation/Matching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Override by policy</w:t>
            </w:r>
          </w:p>
        </w:tc>
        <w:tc>
          <w:tcPr>
            <w:tcW w:type="dxa" w:w="2045"/>
            <w:vAlign w:val="top"/>
          </w:tcPr>
          <w:p>
            <w:r>
              <w:t>Reason/audit mandatory</w:t>
            </w:r>
          </w:p>
        </w:tc>
      </w:tr>
      <w:tr>
        <w:tc>
          <w:tcPr>
            <w:tcW w:type="dxa" w:w="2045"/>
            <w:vAlign w:val="top"/>
          </w:tcPr>
          <w:p>
            <w:r>
              <w:t>Exception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Assigned/Manage</w:t>
            </w:r>
          </w:p>
        </w:tc>
        <w:tc>
          <w:tcPr>
            <w:tcW w:type="dxa" w:w="2045"/>
            <w:vAlign w:val="top"/>
          </w:tcPr>
          <w:p>
            <w:r>
              <w:t>Accept/Close by policy</w:t>
            </w:r>
          </w:p>
        </w:tc>
        <w:tc>
          <w:tcPr>
            <w:tcW w:type="dxa" w:w="2045"/>
            <w:vAlign w:val="top"/>
          </w:tcPr>
          <w:p>
            <w:r>
              <w:t>Severity/SLA routing</w:t>
            </w:r>
          </w:p>
        </w:tc>
      </w:tr>
      <w:tr>
        <w:tc>
          <w:tcPr>
            <w:tcW w:type="dxa" w:w="2045"/>
            <w:vAlign w:val="top"/>
          </w:tcPr>
          <w:p>
            <w:r>
              <w:t>Financial Close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Close permission</w:t>
            </w:r>
          </w:p>
        </w:tc>
        <w:tc>
          <w:tcPr>
            <w:tcW w:type="dxa" w:w="2045"/>
            <w:vAlign w:val="top"/>
          </w:tcPr>
          <w:p>
            <w:r>
              <w:t>Reopen separately controlled</w:t>
            </w:r>
          </w:p>
        </w:tc>
        <w:tc>
          <w:tcPr>
            <w:tcW w:type="dxa" w:w="2045"/>
            <w:vAlign w:val="top"/>
          </w:tcPr>
          <w:p>
            <w:r>
              <w:t>Snapshot immutable</w:t>
            </w:r>
          </w:p>
        </w:tc>
      </w:tr>
      <w:tr>
        <w:tc>
          <w:tcPr>
            <w:tcW w:type="dxa" w:w="2045"/>
            <w:vAlign w:val="top"/>
          </w:tcPr>
          <w:p>
            <w:r>
              <w:t>Master/Configuration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Privileged</w:t>
            </w:r>
          </w:p>
        </w:tc>
        <w:tc>
          <w:tcPr>
            <w:tcW w:type="dxa" w:w="2045"/>
            <w:vAlign w:val="top"/>
          </w:tcPr>
          <w:p>
            <w:r>
              <w:t>Approval configurable</w:t>
            </w:r>
          </w:p>
        </w:tc>
        <w:tc>
          <w:tcPr>
            <w:tcW w:type="dxa" w:w="2045"/>
            <w:vAlign w:val="top"/>
          </w:tcPr>
          <w:p>
            <w:r>
              <w:t>Version/effective-date/audit</w:t>
            </w:r>
          </w:p>
        </w:tc>
      </w:tr>
      <w:tr>
        <w:tc>
          <w:tcPr>
            <w:tcW w:type="dxa" w:w="2045"/>
            <w:vAlign w:val="top"/>
          </w:tcPr>
          <w:p>
            <w:r>
              <w:t>Export</w:t>
            </w:r>
          </w:p>
        </w:tc>
        <w:tc>
          <w:tcPr>
            <w:tcW w:type="dxa" w:w="2045"/>
            <w:vAlign w:val="top"/>
          </w:tcPr>
          <w:p>
            <w:r>
              <w:t>Scoped</w:t>
            </w:r>
          </w:p>
        </w:tc>
        <w:tc>
          <w:tcPr>
            <w:tcW w:type="dxa" w:w="2045"/>
            <w:vAlign w:val="top"/>
          </w:tcPr>
          <w:p>
            <w:r>
              <w:t>N/A</w:t>
            </w:r>
          </w:p>
        </w:tc>
        <w:tc>
          <w:tcPr>
            <w:tcW w:type="dxa" w:w="2045"/>
            <w:vAlign w:val="top"/>
          </w:tcPr>
          <w:p>
            <w:r>
              <w:t>N/A</w:t>
            </w:r>
          </w:p>
        </w:tc>
        <w:tc>
          <w:tcPr>
            <w:tcW w:type="dxa" w:w="2045"/>
            <w:vAlign w:val="top"/>
          </w:tcPr>
          <w:p>
            <w:r>
              <w:t>Separate export permission</w:t>
            </w:r>
          </w:p>
        </w:tc>
      </w:tr>
    </w:tbl>
    <w:p>
      <w:pPr>
        <w:pStyle w:val="Heading1"/>
      </w:pPr>
      <w:r>
        <w:t>13. Carry-forward sang Checkpoint 6</w:t>
      </w:r>
    </w:p>
    <w:p>
      <w:pPr>
        <w:pStyle w:val="ListBullet"/>
      </w:pPr>
      <w:r>
        <w:t>Screen/use-case behavior cho Master Data CRUD, configuration versioning và effective dating.</w:t>
      </w:r>
    </w:p>
    <w:p>
      <w:pPr>
        <w:pStyle w:val="ListBullet"/>
      </w:pPr>
      <w:r>
        <w:t>Permission-aware UI behavior: hidden/disabled/read-only/action denial và error messaging.</w:t>
      </w:r>
    </w:p>
    <w:p>
      <w:pPr>
        <w:pStyle w:val="ListBullet"/>
      </w:pPr>
      <w:r>
        <w:t>Integration monitoring screens, retry/reprocess use cases và exception handling.</w:t>
      </w:r>
    </w:p>
    <w:p>
      <w:pPr>
        <w:pStyle w:val="ListBullet"/>
      </w:pPr>
      <w:r>
        <w:t>Search/filter/export/drill-down requirements theo data scope.</w:t>
      </w:r>
    </w:p>
    <w:p>
      <w:pPr>
        <w:pStyle w:val="ListBullet"/>
      </w:pPr>
      <w:r>
        <w:t>Approval/override/reopen/configuration-change workflows ở mức functional specification.</w:t>
      </w:r>
    </w:p>
    <w:p>
      <w:pPr>
        <w:pStyle w:val="Heading1"/>
      </w:pPr>
      <w:r>
        <w:t>14.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D-FIN-001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Configurable Cost Actualization Policy.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D-FIN-002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Flexible N:N detail-level DN↔Invoice matching; DN không bắt buộc trước Invoice.</w:t>
            </w:r>
          </w:p>
        </w:tc>
      </w:tr>
      <w:tr>
        <w:tc>
          <w:tcPr>
            <w:tcW w:type="dxa" w:w="3408"/>
            <w:vAlign w:val="top"/>
          </w:tcPr>
          <w:p>
            <w:r>
              <w:t>D-FIN-003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Tách Financial Exposure/Obligation khỏi Recognized AP/AR.</w:t>
            </w:r>
          </w:p>
        </w:tc>
      </w:tr>
      <w:tr>
        <w:tc>
          <w:tcPr>
            <w:tcW w:type="dxa" w:w="3408"/>
            <w:vAlign w:val="top"/>
          </w:tcPr>
          <w:p>
            <w:r>
              <w:t>D-PROF-001</w:t>
            </w:r>
          </w:p>
        </w:tc>
        <w:tc>
          <w:tcPr>
            <w:tcW w:type="dxa" w:w="3408"/>
            <w:vAlign w:val="top"/>
          </w:tcPr>
          <w:p>
            <w:r>
              <w:t>[CONFIRMED]</w:t>
            </w:r>
          </w:p>
        </w:tc>
        <w:tc>
          <w:tcPr>
            <w:tcW w:type="dxa" w:w="3408"/>
            <w:vAlign w:val="top"/>
          </w:tcPr>
          <w:p>
            <w:r>
              <w:t>Configurable Financial Close Policy: Strict / Controlled.</w:t>
            </w:r>
          </w:p>
        </w:tc>
      </w:tr>
      <w:tr>
        <w:tc>
          <w:tcPr>
            <w:tcW w:type="dxa" w:w="3408"/>
            <w:vAlign w:val="top"/>
          </w:tcPr>
          <w:p>
            <w:r>
              <w:t>CP5-ARCH-001</w:t>
            </w:r>
          </w:p>
        </w:tc>
        <w:tc>
          <w:tcPr>
            <w:tcW w:type="dxa" w:w="3408"/>
            <w:vAlign w:val="top"/>
          </w:tcPr>
          <w:p>
            <w:r>
              <w:t>[ARCHITECTURE AGREED]</w:t>
            </w:r>
          </w:p>
        </w:tc>
        <w:tc>
          <w:tcPr>
            <w:tcW w:type="dxa" w:w="3408"/>
            <w:vAlign w:val="top"/>
          </w:tcPr>
          <w:p>
            <w:r>
              <w:t>One Core Model + capability/configuration per tenant.</w:t>
            </w:r>
          </w:p>
        </w:tc>
      </w:tr>
      <w:tr>
        <w:tc>
          <w:tcPr>
            <w:tcW w:type="dxa" w:w="3408"/>
            <w:vAlign w:val="top"/>
          </w:tcPr>
          <w:p>
            <w:r>
              <w:t>CP5-ARCH-002</w:t>
            </w:r>
          </w:p>
        </w:tc>
        <w:tc>
          <w:tcPr>
            <w:tcW w:type="dxa" w:w="3408"/>
            <w:vAlign w:val="top"/>
          </w:tcPr>
          <w:p>
            <w:r>
              <w:t>[ARCHITECTURE AGREED]</w:t>
            </w:r>
          </w:p>
        </w:tc>
        <w:tc>
          <w:tcPr>
            <w:tcW w:type="dxa" w:w="3408"/>
            <w:vAlign w:val="top"/>
          </w:tcPr>
          <w:p>
            <w:r>
              <w:t>Permission = Role/Identity × Action × Data Scope; Approval là control riêng.</w:t>
            </w:r>
          </w:p>
        </w:tc>
      </w:tr>
      <w:tr>
        <w:tc>
          <w:tcPr>
            <w:tcW w:type="dxa" w:w="3408"/>
            <w:vAlign w:val="top"/>
          </w:tcPr>
          <w:p>
            <w:r>
              <w:t>CP5-ARCH-003</w:t>
            </w:r>
          </w:p>
        </w:tc>
        <w:tc>
          <w:tcPr>
            <w:tcW w:type="dxa" w:w="3408"/>
            <w:vAlign w:val="top"/>
          </w:tcPr>
          <w:p>
            <w:r>
              <w:t>[ARCHITECTURE AGREED]</w:t>
            </w:r>
          </w:p>
        </w:tc>
        <w:tc>
          <w:tcPr>
            <w:tcW w:type="dxa" w:w="3408"/>
            <w:vAlign w:val="top"/>
          </w:tcPr>
          <w:p>
            <w:r>
              <w:t>Master/config/integration changes phải version/effective-date/audit khi ảnh hưởng historical reproducibility.</w:t>
            </w:r>
          </w:p>
        </w:tc>
      </w:tr>
    </w:tbl>
    <w:p>
      <w:r>
        <w:t>Không còn [DECISION REQUIRED] bắt buộc để đóng Checkpoint 5.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Master Data taxonomy và party/organization model đã xác định.</w:t>
      </w:r>
    </w:p>
    <w:p>
      <w:pPr>
        <w:pStyle w:val="ListBullet"/>
      </w:pPr>
      <w:r>
        <w:t>Tenant capability/configuration architecture và policy governance đã xác định.</w:t>
      </w:r>
    </w:p>
    <w:p>
      <w:pPr>
        <w:pStyle w:val="ListBullet"/>
      </w:pPr>
      <w:r>
        <w:t>Integration boundaries, idempotency, mapping/error principles đã xác định ở mức BA.</w:t>
      </w:r>
    </w:p>
    <w:p>
      <w:pPr>
        <w:pStyle w:val="ListBullet"/>
      </w:pPr>
      <w:r>
        <w:t>Role/action/data-scope permission model, sensitive access và SoD đã xác định.</w:t>
      </w:r>
    </w:p>
    <w:p>
      <w:pPr>
        <w:pStyle w:val="ListBullet"/>
      </w:pPr>
      <w:r>
        <w:t>Audit/configuration history/effective dating và carry-forward sang functional specification đã xác định.</w:t>
      </w:r>
    </w:p>
    <w:p>
      <w:r>
        <w:t>Checkpoint 5 — Master Data, Configuration, Integration &amp; Security/Permission Blueprint: 100% — COMPLETED / PACKAGED.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