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LCMS — TECHNICAL DESIGN 3</w:t>
      </w:r>
    </w:p>
    <w:p>
      <w:pPr>
        <w:jc w:val="center"/>
      </w:pPr>
      <w:r>
        <w:rPr>
          <w:b/>
          <w:sz w:val="30"/>
        </w:rPr>
        <w:t>MODULE / APPLICATION ARCHITECTURE — V1.0</w:t>
      </w:r>
    </w:p>
    <w:p>
      <w:pPr>
        <w:jc w:val="center"/>
      </w:pPr>
      <w:r>
        <w:rPr>
          <w:i/>
        </w:rPr>
        <w:t>Dựa trên Business Architecture V1.0, TD1 và TD2</w:t>
      </w:r>
    </w:p>
    <w:p>
      <w:pPr>
        <w:pStyle w:val="Heading1"/>
      </w:pPr>
      <w:r>
        <w:t>1. Kiến trúc tổng thể</w:t>
      </w:r>
    </w:p>
    <w:p>
      <w:r>
        <w:t>LCMS V1.0 sử dụng Modular Monolith làm baseline: một hệ thống triển khai thống nhất nhưng có bounded module, ownership và dependency contract rõ ràng. Mục tiêu là giữ financial integrity và khả năng phát triển/tách module về sau mà không chịu chi phí vận hành microservices quá sớm.</w:t>
      </w:r>
    </w:p>
    <w:p>
      <w:pPr>
        <w:pStyle w:val="Heading1"/>
      </w:pPr>
      <w:r>
        <w:t>2. Application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Trách nhiệm</w:t>
            </w:r>
          </w:p>
        </w:tc>
        <w:tc>
          <w:tcPr>
            <w:tcW w:type="dxa" w:w="3456"/>
          </w:tcPr>
          <w:p>
            <w:r>
              <w:rPr>
                <w:b/>
              </w:rPr>
              <w:t>Guardrail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Presentation/API</w:t>
            </w:r>
          </w:p>
        </w:tc>
        <w:tc>
          <w:tcPr>
            <w:tcW w:type="dxa" w:w="3456"/>
          </w:tcPr>
          <w:p>
            <w:r>
              <w:t>HTTP/API controllers, request validation, auth context adapter</w:t>
            </w:r>
          </w:p>
        </w:tc>
        <w:tc>
          <w:tcPr>
            <w:tcW w:type="dxa" w:w="3456"/>
          </w:tcPr>
          <w:p>
            <w:r>
              <w:t>Không chứa domain decision logic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Application</w:t>
            </w:r>
          </w:p>
        </w:tc>
        <w:tc>
          <w:tcPr>
            <w:tcW w:type="dxa" w:w="3456"/>
          </w:tcPr>
          <w:p>
            <w:r>
              <w:t>Use cases/commands/queries, orchestration, transaction boundary</w:t>
            </w:r>
          </w:p>
        </w:tc>
        <w:tc>
          <w:tcPr>
            <w:tcW w:type="dxa" w:w="3456"/>
          </w:tcPr>
          <w:p>
            <w:r>
              <w:t>Gọi domain + ports; không truy cập DB tùy tiện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Domain</w:t>
            </w:r>
          </w:p>
        </w:tc>
        <w:tc>
          <w:tcPr>
            <w:tcW w:type="dxa" w:w="3456"/>
          </w:tcPr>
          <w:p>
            <w:r>
              <w:t>Entities/aggregates/value objects/policies/domain services</w:t>
            </w:r>
          </w:p>
        </w:tc>
        <w:tc>
          <w:tcPr>
            <w:tcW w:type="dxa" w:w="3456"/>
          </w:tcPr>
          <w:p>
            <w:r>
              <w:t>Nguồn business invariants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Infrastructure</w:t>
            </w:r>
          </w:p>
        </w:tc>
        <w:tc>
          <w:tcPr>
            <w:tcW w:type="dxa" w:w="3456"/>
          </w:tcPr>
          <w:p>
            <w:r>
              <w:t>Repository implementations, DB, queue, external adapters</w:t>
            </w:r>
          </w:p>
        </w:tc>
        <w:tc>
          <w:tcPr>
            <w:tcW w:type="dxa" w:w="3456"/>
          </w:tcPr>
          <w:p>
            <w:r>
              <w:t>Phụ thuộc interface/port do application/domain định nghĩa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Read Model</w:t>
            </w:r>
          </w:p>
        </w:tc>
        <w:tc>
          <w:tcPr>
            <w:tcW w:type="dxa" w:w="3456"/>
          </w:tcPr>
          <w:p>
            <w:r>
              <w:t>Financial profile/dashboard/search projections</w:t>
            </w:r>
          </w:p>
        </w:tc>
        <w:tc>
          <w:tcPr>
            <w:tcW w:type="dxa" w:w="3456"/>
          </w:tcPr>
          <w:p>
            <w:r>
              <w:t>Tối ưu query; không trở thành transaction SoT</w:t>
            </w:r>
          </w:p>
        </w:tc>
      </w:tr>
    </w:tbl>
    <w:p>
      <w:pPr>
        <w:pStyle w:val="Heading1"/>
      </w:pPr>
      <w:r>
        <w:t>3. Module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Trách nhiệm</w:t>
            </w:r>
          </w:p>
        </w:tc>
        <w:tc>
          <w:tcPr>
            <w:tcW w:type="dxa" w:w="2592"/>
          </w:tcPr>
          <w:p>
            <w:r>
              <w:rPr>
                <w:b/>
              </w:rPr>
              <w:t>Nguyên tắc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M01</w:t>
            </w:r>
          </w:p>
        </w:tc>
        <w:tc>
          <w:tcPr>
            <w:tcW w:type="dxa" w:w="2592"/>
          </w:tcPr>
          <w:p>
            <w:r>
              <w:t>Identity, Tenant &amp; Access</w:t>
            </w:r>
          </w:p>
        </w:tc>
        <w:tc>
          <w:tcPr>
            <w:tcW w:type="dxa" w:w="2592"/>
          </w:tcPr>
          <w:p>
            <w:r>
              <w:t>Tenant context, principal, role/action/data scope</w:t>
            </w:r>
          </w:p>
        </w:tc>
        <w:tc>
          <w:tcPr>
            <w:tcW w:type="dxa" w:w="2592"/>
          </w:tcPr>
          <w:p>
            <w:r>
              <w:t>Không chứa financial business rules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M02</w:t>
            </w:r>
          </w:p>
        </w:tc>
        <w:tc>
          <w:tcPr>
            <w:tcW w:type="dxa" w:w="2592"/>
          </w:tcPr>
          <w:p>
            <w:r>
              <w:t>Master Data</w:t>
            </w:r>
          </w:p>
        </w:tc>
        <w:tc>
          <w:tcPr>
            <w:tcW w:type="dxa" w:w="2592"/>
          </w:tcPr>
          <w:p>
            <w:r>
              <w:t>Party, currency, service, taxonomy</w:t>
            </w:r>
          </w:p>
        </w:tc>
        <w:tc>
          <w:tcPr>
            <w:tcW w:type="dxa" w:w="2592"/>
          </w:tcPr>
          <w:p>
            <w:r>
              <w:t>Canonical master; effective dating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M03</w:t>
            </w:r>
          </w:p>
        </w:tc>
        <w:tc>
          <w:tcPr>
            <w:tcW w:type="dxa" w:w="2592"/>
          </w:tcPr>
          <w:p>
            <w:r>
              <w:t>Operational Reference</w:t>
            </w:r>
          </w:p>
        </w:tc>
        <w:tc>
          <w:tcPr>
            <w:tcW w:type="dxa" w:w="2592"/>
          </w:tcPr>
          <w:p>
            <w:r>
              <w:t>Order/Bill/Shipment/Leg/Movement reference</w:t>
            </w:r>
          </w:p>
        </w:tc>
        <w:tc>
          <w:tcPr>
            <w:tcW w:type="dxa" w:w="2592"/>
          </w:tcPr>
          <w:p>
            <w:r>
              <w:t>Operational System là SoT; Bill anchor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M04</w:t>
            </w:r>
          </w:p>
        </w:tc>
        <w:tc>
          <w:tcPr>
            <w:tcW w:type="dxa" w:w="2592"/>
          </w:tcPr>
          <w:p>
            <w:r>
              <w:t>Rate &amp; Pricing</w:t>
            </w:r>
          </w:p>
        </w:tc>
        <w:tc>
          <w:tcPr>
            <w:tcW w:type="dxa" w:w="2592"/>
          </w:tcPr>
          <w:p>
            <w:r>
              <w:t>Rate Card/Version/Rule/Rating</w:t>
            </w:r>
          </w:p>
        </w:tc>
        <w:tc>
          <w:tcPr>
            <w:tcW w:type="dxa" w:w="2592"/>
          </w:tcPr>
          <w:p>
            <w:r>
              <w:t>Expected Cost/Revenue; immutable rating history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M05</w:t>
            </w:r>
          </w:p>
        </w:tc>
        <w:tc>
          <w:tcPr>
            <w:tcW w:type="dxa" w:w="2592"/>
          </w:tcPr>
          <w:p>
            <w:r>
              <w:t>Cost Management</w:t>
            </w:r>
          </w:p>
        </w:tc>
        <w:tc>
          <w:tcPr>
            <w:tcW w:type="dxa" w:w="2592"/>
          </w:tcPr>
          <w:p>
            <w:r>
              <w:t>Cost maturity, adjustment, allocation</w:t>
            </w:r>
          </w:p>
        </w:tc>
        <w:tc>
          <w:tcPr>
            <w:tcW w:type="dxa" w:w="2592"/>
          </w:tcPr>
          <w:p>
            <w:r>
              <w:t>Single Economic Cost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M06</w:t>
            </w:r>
          </w:p>
        </w:tc>
        <w:tc>
          <w:tcPr>
            <w:tcW w:type="dxa" w:w="2592"/>
          </w:tcPr>
          <w:p>
            <w:r>
              <w:t>Revenue Management</w:t>
            </w:r>
          </w:p>
        </w:tc>
        <w:tc>
          <w:tcPr>
            <w:tcW w:type="dxa" w:w="2592"/>
          </w:tcPr>
          <w:p>
            <w:r>
              <w:t>Revenue maturity, adjustment</w:t>
            </w:r>
          </w:p>
        </w:tc>
        <w:tc>
          <w:tcPr>
            <w:tcW w:type="dxa" w:w="2592"/>
          </w:tcPr>
          <w:p>
            <w:r>
              <w:t>Single Economic Revenue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M07</w:t>
            </w:r>
          </w:p>
        </w:tc>
        <w:tc>
          <w:tcPr>
            <w:tcW w:type="dxa" w:w="2592"/>
          </w:tcPr>
          <w:p>
            <w:r>
              <w:t>Financial Documents</w:t>
            </w:r>
          </w:p>
        </w:tc>
        <w:tc>
          <w:tcPr>
            <w:tcW w:type="dxa" w:w="2592"/>
          </w:tcPr>
          <w:p>
            <w:r>
              <w:t>DN/Invoice intake, acceptance, detail matching</w:t>
            </w:r>
          </w:p>
        </w:tc>
        <w:tc>
          <w:tcPr>
            <w:tcW w:type="dxa" w:w="2592"/>
          </w:tcPr>
          <w:p>
            <w:r>
              <w:t>Received ≠ Accepted; N:N matching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M08</w:t>
            </w:r>
          </w:p>
        </w:tc>
        <w:tc>
          <w:tcPr>
            <w:tcW w:type="dxa" w:w="2592"/>
          </w:tcPr>
          <w:p>
            <w:r>
              <w:t>Exposure &amp; AP/AR</w:t>
            </w:r>
          </w:p>
        </w:tc>
        <w:tc>
          <w:tcPr>
            <w:tcW w:type="dxa" w:w="2592"/>
          </w:tcPr>
          <w:p>
            <w:r>
              <w:t>Exposure and recognized AP/AR</w:t>
            </w:r>
          </w:p>
        </w:tc>
        <w:tc>
          <w:tcPr>
            <w:tcW w:type="dxa" w:w="2592"/>
          </w:tcPr>
          <w:p>
            <w:r>
              <w:t>Recognition không tạo Cost/Revenue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M09</w:t>
            </w:r>
          </w:p>
        </w:tc>
        <w:tc>
          <w:tcPr>
            <w:tcW w:type="dxa" w:w="2592"/>
          </w:tcPr>
          <w:p>
            <w:r>
              <w:t>Settlement</w:t>
            </w:r>
          </w:p>
        </w:tc>
        <w:tc>
          <w:tcPr>
            <w:tcW w:type="dxa" w:w="2592"/>
          </w:tcPr>
          <w:p>
            <w:r>
              <w:t>Payment, Collection, allocations</w:t>
            </w:r>
          </w:p>
        </w:tc>
        <w:tc>
          <w:tcPr>
            <w:tcW w:type="dxa" w:w="2592"/>
          </w:tcPr>
          <w:p>
            <w:r>
              <w:t>Cash ≠ settlement until finalized allocation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M10</w:t>
            </w:r>
          </w:p>
        </w:tc>
        <w:tc>
          <w:tcPr>
            <w:tcW w:type="dxa" w:w="2592"/>
          </w:tcPr>
          <w:p>
            <w:r>
              <w:t>Financial Control</w:t>
            </w:r>
          </w:p>
        </w:tc>
        <w:tc>
          <w:tcPr>
            <w:tcW w:type="dxa" w:w="2592"/>
          </w:tcPr>
          <w:p>
            <w:r>
              <w:t>Reconciliation, variance, exception, approval</w:t>
            </w:r>
          </w:p>
        </w:tc>
        <w:tc>
          <w:tcPr>
            <w:tcW w:type="dxa" w:w="2592"/>
          </w:tcPr>
          <w:p>
            <w:r>
              <w:t>Variance ≠ Exception; Approval separate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M11</w:t>
            </w:r>
          </w:p>
        </w:tc>
        <w:tc>
          <w:tcPr>
            <w:tcW w:type="dxa" w:w="2592"/>
          </w:tcPr>
          <w:p>
            <w:r>
              <w:t>Financial Close</w:t>
            </w:r>
          </w:p>
        </w:tc>
        <w:tc>
          <w:tcPr>
            <w:tcW w:type="dxa" w:w="2592"/>
          </w:tcPr>
          <w:p>
            <w:r>
              <w:t>Close/reopen/snapshot</w:t>
            </w:r>
          </w:p>
        </w:tc>
        <w:tc>
          <w:tcPr>
            <w:tcW w:type="dxa" w:w="2592"/>
          </w:tcPr>
          <w:p>
            <w:r>
              <w:t>Immutable as-closed history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M12</w:t>
            </w:r>
          </w:p>
        </w:tc>
        <w:tc>
          <w:tcPr>
            <w:tcW w:type="dxa" w:w="2592"/>
          </w:tcPr>
          <w:p>
            <w:r>
              <w:t>Financial Profile &amp; Reporting</w:t>
            </w:r>
          </w:p>
        </w:tc>
        <w:tc>
          <w:tcPr>
            <w:tcW w:type="dxa" w:w="2592"/>
          </w:tcPr>
          <w:p>
            <w:r>
              <w:t>Bill financial profile, profitability/read models</w:t>
            </w:r>
          </w:p>
        </w:tc>
        <w:tc>
          <w:tcPr>
            <w:tcW w:type="dxa" w:w="2592"/>
          </w:tcPr>
          <w:p>
            <w:r>
              <w:t>Derived/read side, not source transaction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M13</w:t>
            </w:r>
          </w:p>
        </w:tc>
        <w:tc>
          <w:tcPr>
            <w:tcW w:type="dxa" w:w="2592"/>
          </w:tcPr>
          <w:p>
            <w:r>
              <w:t>Configuration &amp; Policy</w:t>
            </w:r>
          </w:p>
        </w:tc>
        <w:tc>
          <w:tcPr>
            <w:tcW w:type="dxa" w:w="2592"/>
          </w:tcPr>
          <w:p>
            <w:r>
              <w:t>Recognition/actualization/close/allocation/control policies</w:t>
            </w:r>
          </w:p>
        </w:tc>
        <w:tc>
          <w:tcPr>
            <w:tcW w:type="dxa" w:w="2592"/>
          </w:tcPr>
          <w:p>
            <w:r>
              <w:t>Versioned/effective-dated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M14</w:t>
            </w:r>
          </w:p>
        </w:tc>
        <w:tc>
          <w:tcPr>
            <w:tcW w:type="dxa" w:w="2592"/>
          </w:tcPr>
          <w:p>
            <w:r>
              <w:t>Integration</w:t>
            </w:r>
          </w:p>
        </w:tc>
        <w:tc>
          <w:tcPr>
            <w:tcW w:type="dxa" w:w="2592"/>
          </w:tcPr>
          <w:p>
            <w:r>
              <w:t>Inbound/outbound, idempotency, retry, mapping</w:t>
            </w:r>
          </w:p>
        </w:tc>
        <w:tc>
          <w:tcPr>
            <w:tcW w:type="dxa" w:w="2592"/>
          </w:tcPr>
          <w:p>
            <w:r>
              <w:t>No guessed financial facts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M15</w:t>
            </w:r>
          </w:p>
        </w:tc>
        <w:tc>
          <w:tcPr>
            <w:tcW w:type="dxa" w:w="2592"/>
          </w:tcPr>
          <w:p>
            <w:r>
              <w:t>Audit &amp; History</w:t>
            </w:r>
          </w:p>
        </w:tc>
        <w:tc>
          <w:tcPr>
            <w:tcW w:type="dxa" w:w="2592"/>
          </w:tcPr>
          <w:p>
            <w:r>
              <w:t>Audit events, traceability</w:t>
            </w:r>
          </w:p>
        </w:tc>
        <w:tc>
          <w:tcPr>
            <w:tcW w:type="dxa" w:w="2592"/>
          </w:tcPr>
          <w:p>
            <w:r>
              <w:t>Cross-cutting append-oriented</w:t>
            </w:r>
          </w:p>
        </w:tc>
      </w:tr>
    </w:tbl>
    <w:p>
      <w:pPr>
        <w:pStyle w:val="Heading1"/>
      </w:pPr>
      <w:r>
        <w:t>4. Dependency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Phụ thuộc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Mức</w:t>
            </w:r>
          </w:p>
        </w:tc>
        <w:tc>
          <w:tcPr>
            <w:tcW w:type="dxa" w:w="2592"/>
          </w:tcPr>
          <w:p>
            <w:r>
              <w:rPr>
                <w:b/>
              </w:rPr>
              <w:t>Lý do/Guardrail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M03 Operational Reference</w:t>
            </w:r>
          </w:p>
        </w:tc>
        <w:tc>
          <w:tcPr>
            <w:tcW w:type="dxa" w:w="2592"/>
          </w:tcPr>
          <w:p>
            <w:r>
              <w:t>M02 Master Data</w:t>
            </w:r>
          </w:p>
        </w:tc>
        <w:tc>
          <w:tcPr>
            <w:tcW w:type="dxa" w:w="2592"/>
          </w:tcPr>
          <w:p>
            <w:r>
              <w:t>Allowed</w:t>
            </w:r>
          </w:p>
        </w:tc>
        <w:tc>
          <w:tcPr>
            <w:tcW w:type="dxa" w:w="2592"/>
          </w:tcPr>
          <w:p>
            <w:r>
              <w:t>Party/service/master references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M04 Rate &amp; Pricing</w:t>
            </w:r>
          </w:p>
        </w:tc>
        <w:tc>
          <w:tcPr>
            <w:tcW w:type="dxa" w:w="2592"/>
          </w:tcPr>
          <w:p>
            <w:r>
              <w:t>M02,M03,M13</w:t>
            </w:r>
          </w:p>
        </w:tc>
        <w:tc>
          <w:tcPr>
            <w:tcW w:type="dxa" w:w="2592"/>
          </w:tcPr>
          <w:p>
            <w:r>
              <w:t>Allowed</w:t>
            </w:r>
          </w:p>
        </w:tc>
        <w:tc>
          <w:tcPr>
            <w:tcW w:type="dxa" w:w="2592"/>
          </w:tcPr>
          <w:p>
            <w:r>
              <w:t>Master + operational context + policy/config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M05 Cost</w:t>
            </w:r>
          </w:p>
        </w:tc>
        <w:tc>
          <w:tcPr>
            <w:tcW w:type="dxa" w:w="2592"/>
          </w:tcPr>
          <w:p>
            <w:r>
              <w:t>M02,M03,M04,M13</w:t>
            </w:r>
          </w:p>
        </w:tc>
        <w:tc>
          <w:tcPr>
            <w:tcW w:type="dxa" w:w="2592"/>
          </w:tcPr>
          <w:p>
            <w:r>
              <w:t>Allowed</w:t>
            </w:r>
          </w:p>
        </w:tc>
        <w:tc>
          <w:tcPr>
            <w:tcW w:type="dxa" w:w="2592"/>
          </w:tcPr>
          <w:p>
            <w:r>
              <w:t>Rating may seed Expected; policy/config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M06 Revenue</w:t>
            </w:r>
          </w:p>
        </w:tc>
        <w:tc>
          <w:tcPr>
            <w:tcW w:type="dxa" w:w="2592"/>
          </w:tcPr>
          <w:p>
            <w:r>
              <w:t>M02,M03,M04,M13</w:t>
            </w:r>
          </w:p>
        </w:tc>
        <w:tc>
          <w:tcPr>
            <w:tcW w:type="dxa" w:w="2592"/>
          </w:tcPr>
          <w:p>
            <w:r>
              <w:t>Allowed</w:t>
            </w:r>
          </w:p>
        </w:tc>
        <w:tc>
          <w:tcPr>
            <w:tcW w:type="dxa" w:w="2592"/>
          </w:tcPr>
          <w:p>
            <w:r>
              <w:t>Rating may seed Expected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M07 Financial Documents</w:t>
            </w:r>
          </w:p>
        </w:tc>
        <w:tc>
          <w:tcPr>
            <w:tcW w:type="dxa" w:w="2592"/>
          </w:tcPr>
          <w:p>
            <w:r>
              <w:t>M02,M03,M05,M06,M13</w:t>
            </w:r>
          </w:p>
        </w:tc>
        <w:tc>
          <w:tcPr>
            <w:tcW w:type="dxa" w:w="2592"/>
          </w:tcPr>
          <w:p>
            <w:r>
              <w:t>Controlled</w:t>
            </w:r>
          </w:p>
        </w:tc>
        <w:tc>
          <w:tcPr>
            <w:tcW w:type="dxa" w:w="2592"/>
          </w:tcPr>
          <w:p>
            <w:r>
              <w:t>Matching references economic facts; no ownership inversion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M08 Exposure &amp; AP/AR</w:t>
            </w:r>
          </w:p>
        </w:tc>
        <w:tc>
          <w:tcPr>
            <w:tcW w:type="dxa" w:w="2592"/>
          </w:tcPr>
          <w:p>
            <w:r>
              <w:t>M05,M06,M07,M13</w:t>
            </w:r>
          </w:p>
        </w:tc>
        <w:tc>
          <w:tcPr>
            <w:tcW w:type="dxa" w:w="2592"/>
          </w:tcPr>
          <w:p>
            <w:r>
              <w:t>Allowed</w:t>
            </w:r>
          </w:p>
        </w:tc>
        <w:tc>
          <w:tcPr>
            <w:tcW w:type="dxa" w:w="2592"/>
          </w:tcPr>
          <w:p>
            <w:r>
              <w:t>Recognition from existing facts/documents/policy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M09 Settlement</w:t>
            </w:r>
          </w:p>
        </w:tc>
        <w:tc>
          <w:tcPr>
            <w:tcW w:type="dxa" w:w="2592"/>
          </w:tcPr>
          <w:p>
            <w:r>
              <w:t>M08,M02</w:t>
            </w:r>
          </w:p>
        </w:tc>
        <w:tc>
          <w:tcPr>
            <w:tcW w:type="dxa" w:w="2592"/>
          </w:tcPr>
          <w:p>
            <w:r>
              <w:t>Allowed</w:t>
            </w:r>
          </w:p>
        </w:tc>
        <w:tc>
          <w:tcPr>
            <w:tcW w:type="dxa" w:w="2592"/>
          </w:tcPr>
          <w:p>
            <w:r>
              <w:t>Allocate cash to recognized AP/AR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M10 Financial Control</w:t>
            </w:r>
          </w:p>
        </w:tc>
        <w:tc>
          <w:tcPr>
            <w:tcW w:type="dxa" w:w="2592"/>
          </w:tcPr>
          <w:p>
            <w:r>
              <w:t>M03-M09,M13</w:t>
            </w:r>
          </w:p>
        </w:tc>
        <w:tc>
          <w:tcPr>
            <w:tcW w:type="dxa" w:w="2592"/>
          </w:tcPr>
          <w:p>
            <w:r>
              <w:t>Read/control dependency</w:t>
            </w:r>
          </w:p>
        </w:tc>
        <w:tc>
          <w:tcPr>
            <w:tcW w:type="dxa" w:w="2592"/>
          </w:tcPr>
          <w:p>
            <w:r>
              <w:t>Reconcile/control without owning source facts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M11 Financial Close</w:t>
            </w:r>
          </w:p>
        </w:tc>
        <w:tc>
          <w:tcPr>
            <w:tcW w:type="dxa" w:w="2592"/>
          </w:tcPr>
          <w:p>
            <w:r>
              <w:t>M03-M10,M13</w:t>
            </w:r>
          </w:p>
        </w:tc>
        <w:tc>
          <w:tcPr>
            <w:tcW w:type="dxa" w:w="2592"/>
          </w:tcPr>
          <w:p>
            <w:r>
              <w:t>Controlled</w:t>
            </w:r>
          </w:p>
        </w:tc>
        <w:tc>
          <w:tcPr>
            <w:tcW w:type="dxa" w:w="2592"/>
          </w:tcPr>
          <w:p>
            <w:r>
              <w:t>Eligibility + immutable snapshot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M12 Financial Profile</w:t>
            </w:r>
          </w:p>
        </w:tc>
        <w:tc>
          <w:tcPr>
            <w:tcW w:type="dxa" w:w="2592"/>
          </w:tcPr>
          <w:p>
            <w:r>
              <w:t>M03-M11</w:t>
            </w:r>
          </w:p>
        </w:tc>
        <w:tc>
          <w:tcPr>
            <w:tcW w:type="dxa" w:w="2592"/>
          </w:tcPr>
          <w:p>
            <w:r>
              <w:t>Read-only composition</w:t>
            </w:r>
          </w:p>
        </w:tc>
        <w:tc>
          <w:tcPr>
            <w:tcW w:type="dxa" w:w="2592"/>
          </w:tcPr>
          <w:p>
            <w:r>
              <w:t>Derived projections/read models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M14 Integration</w:t>
            </w:r>
          </w:p>
        </w:tc>
        <w:tc>
          <w:tcPr>
            <w:tcW w:type="dxa" w:w="2592"/>
          </w:tcPr>
          <w:p>
            <w:r>
              <w:t>All via application ports</w:t>
            </w:r>
          </w:p>
        </w:tc>
        <w:tc>
          <w:tcPr>
            <w:tcW w:type="dxa" w:w="2592"/>
          </w:tcPr>
          <w:p>
            <w:r>
              <w:t>Adapter boundary</w:t>
            </w:r>
          </w:p>
        </w:tc>
        <w:tc>
          <w:tcPr>
            <w:tcW w:type="dxa" w:w="2592"/>
          </w:tcPr>
          <w:p>
            <w:r>
              <w:t>Không gọi trực tiếp internal DB tables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M15 Audit</w:t>
            </w:r>
          </w:p>
        </w:tc>
        <w:tc>
          <w:tcPr>
            <w:tcW w:type="dxa" w:w="2592"/>
          </w:tcPr>
          <w:p>
            <w:r>
              <w:t>All modules emit audit/event metadata</w:t>
            </w:r>
          </w:p>
        </w:tc>
        <w:tc>
          <w:tcPr>
            <w:tcW w:type="dxa" w:w="2592"/>
          </w:tcPr>
          <w:p>
            <w:r>
              <w:t>Cross-cutting</w:t>
            </w:r>
          </w:p>
        </w:tc>
        <w:tc>
          <w:tcPr>
            <w:tcW w:type="dxa" w:w="2592"/>
          </w:tcPr>
          <w:p>
            <w:r>
              <w:t>Không tạo circular domain dependency</w:t>
            </w:r>
          </w:p>
        </w:tc>
      </w:tr>
    </w:tbl>
    <w:p>
      <w:pPr>
        <w:pStyle w:val="Heading1"/>
      </w:pPr>
      <w:r>
        <w:t>5. Architecture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Chủ đề</w:t>
            </w:r>
          </w:p>
        </w:tc>
        <w:tc>
          <w:tcPr>
            <w:tcW w:type="dxa" w:w="3456"/>
          </w:tcPr>
          <w:p>
            <w:r>
              <w:rPr>
                <w:b/>
              </w:rPr>
              <w:t>Quy tắc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A-001</w:t>
            </w:r>
          </w:p>
        </w:tc>
        <w:tc>
          <w:tcPr>
            <w:tcW w:type="dxa" w:w="3456"/>
          </w:tcPr>
          <w:p>
            <w:r>
              <w:t>Modular Monolith baseline</w:t>
            </w:r>
          </w:p>
        </w:tc>
        <w:tc>
          <w:tcPr>
            <w:tcW w:type="dxa" w:w="3456"/>
          </w:tcPr>
          <w:p>
            <w:r>
              <w:t>Một deployable application ở giai đoạn đầu, chia module boundary rõ; không premature microservices.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A-002</w:t>
            </w:r>
          </w:p>
        </w:tc>
        <w:tc>
          <w:tcPr>
            <w:tcW w:type="dxa" w:w="3456"/>
          </w:tcPr>
          <w:p>
            <w:r>
              <w:t>Module ownership</w:t>
            </w:r>
          </w:p>
        </w:tc>
        <w:tc>
          <w:tcPr>
            <w:tcW w:type="dxa" w:w="3456"/>
          </w:tcPr>
          <w:p>
            <w:r>
              <w:t>Mỗi business aggregate/table source-of-truth có một owning module.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A-003</w:t>
            </w:r>
          </w:p>
        </w:tc>
        <w:tc>
          <w:tcPr>
            <w:tcW w:type="dxa" w:w="3456"/>
          </w:tcPr>
          <w:p>
            <w:r>
              <w:t>No shared write</w:t>
            </w:r>
          </w:p>
        </w:tc>
        <w:tc>
          <w:tcPr>
            <w:tcW w:type="dxa" w:w="3456"/>
          </w:tcPr>
          <w:p>
            <w:r>
              <w:t>Module khác không ghi trực tiếp bảng/aggregate thuộc module sở hữu.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A-004</w:t>
            </w:r>
          </w:p>
        </w:tc>
        <w:tc>
          <w:tcPr>
            <w:tcW w:type="dxa" w:w="3456"/>
          </w:tcPr>
          <w:p>
            <w:r>
              <w:t>Dependency direction</w:t>
            </w:r>
          </w:p>
        </w:tc>
        <w:tc>
          <w:tcPr>
            <w:tcW w:type="dxa" w:w="3456"/>
          </w:tcPr>
          <w:p>
            <w:r>
              <w:t>Presentation → Application → Domain; Infrastructure implements ports.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A-005</w:t>
            </w:r>
          </w:p>
        </w:tc>
        <w:tc>
          <w:tcPr>
            <w:tcW w:type="dxa" w:w="3456"/>
          </w:tcPr>
          <w:p>
            <w:r>
              <w:t>Cross-module command</w:t>
            </w:r>
          </w:p>
        </w:tc>
        <w:tc>
          <w:tcPr>
            <w:tcW w:type="dxa" w:w="3456"/>
          </w:tcPr>
          <w:p>
            <w:r>
              <w:t>Đi qua application service/contract; không gọi repository nội bộ của module khác.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A-006</w:t>
            </w:r>
          </w:p>
        </w:tc>
        <w:tc>
          <w:tcPr>
            <w:tcW w:type="dxa" w:w="3456"/>
          </w:tcPr>
          <w:p>
            <w:r>
              <w:t>Cross-module query</w:t>
            </w:r>
          </w:p>
        </w:tc>
        <w:tc>
          <w:tcPr>
            <w:tcW w:type="dxa" w:w="3456"/>
          </w:tcPr>
          <w:p>
            <w:r>
              <w:t>Ưu tiên query contract/read model; không coupling vào schema nội bộ.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A-007</w:t>
            </w:r>
          </w:p>
        </w:tc>
        <w:tc>
          <w:tcPr>
            <w:tcW w:type="dxa" w:w="3456"/>
          </w:tcPr>
          <w:p>
            <w:r>
              <w:t>Transaction boundary</w:t>
            </w:r>
          </w:p>
        </w:tc>
        <w:tc>
          <w:tcPr>
            <w:tcW w:type="dxa" w:w="3456"/>
          </w:tcPr>
          <w:p>
            <w:r>
              <w:t>Một command nghiệp vụ có transaction boundary rõ; distributed transaction không cần ở modular monolith core.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A-008</w:t>
            </w:r>
          </w:p>
        </w:tc>
        <w:tc>
          <w:tcPr>
            <w:tcW w:type="dxa" w:w="3456"/>
          </w:tcPr>
          <w:p>
            <w:r>
              <w:t>Events</w:t>
            </w:r>
          </w:p>
        </w:tc>
        <w:tc>
          <w:tcPr>
            <w:tcW w:type="dxa" w:w="3456"/>
          </w:tcPr>
          <w:p>
            <w:r>
              <w:t>Domain/application event dùng cho side effects/projection/integration; không là economic fact thứ hai.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A-009</w:t>
            </w:r>
          </w:p>
        </w:tc>
        <w:tc>
          <w:tcPr>
            <w:tcW w:type="dxa" w:w="3456"/>
          </w:tcPr>
          <w:p>
            <w:r>
              <w:t>Financial integrity</w:t>
            </w:r>
          </w:p>
        </w:tc>
        <w:tc>
          <w:tcPr>
            <w:tcW w:type="dxa" w:w="3456"/>
          </w:tcPr>
          <w:p>
            <w:r>
              <w:t>Cost/Revenue/AP/AR/Settlement/Close invariants nằm ở owning domain, không ở UI.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A-010</w:t>
            </w:r>
          </w:p>
        </w:tc>
        <w:tc>
          <w:tcPr>
            <w:tcW w:type="dxa" w:w="3456"/>
          </w:tcPr>
          <w:p>
            <w:r>
              <w:t>Read model</w:t>
            </w:r>
          </w:p>
        </w:tc>
        <w:tc>
          <w:tcPr>
            <w:tcW w:type="dxa" w:w="3456"/>
          </w:tcPr>
          <w:p>
            <w:r>
              <w:t>Dashboard/Bill Financial Profile có thể denormalize/materialize; rebuild được từ source facts/snapshot.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A-011</w:t>
            </w:r>
          </w:p>
        </w:tc>
        <w:tc>
          <w:tcPr>
            <w:tcW w:type="dxa" w:w="3456"/>
          </w:tcPr>
          <w:p>
            <w:r>
              <w:t>Configuration</w:t>
            </w:r>
          </w:p>
        </w:tc>
        <w:tc>
          <w:tcPr>
            <w:tcW w:type="dxa" w:w="3456"/>
          </w:tcPr>
          <w:p>
            <w:r>
              <w:t>Policy resolution là service dùng chung có version traceability; transaction lưu applied policy/version khi cần.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A-012</w:t>
            </w:r>
          </w:p>
        </w:tc>
        <w:tc>
          <w:tcPr>
            <w:tcW w:type="dxa" w:w="3456"/>
          </w:tcPr>
          <w:p>
            <w:r>
              <w:t>Audit</w:t>
            </w:r>
          </w:p>
        </w:tc>
        <w:tc>
          <w:tcPr>
            <w:tcW w:type="dxa" w:w="3456"/>
          </w:tcPr>
          <w:p>
            <w:r>
              <w:t>Audit emission là cross-cutting contract; không phụ thuộc ngược vào business module.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A-013</w:t>
            </w:r>
          </w:p>
        </w:tc>
        <w:tc>
          <w:tcPr>
            <w:tcW w:type="dxa" w:w="3456"/>
          </w:tcPr>
          <w:p>
            <w:r>
              <w:t>Integration</w:t>
            </w:r>
          </w:p>
        </w:tc>
        <w:tc>
          <w:tcPr>
            <w:tcW w:type="dxa" w:w="3456"/>
          </w:tcPr>
          <w:p>
            <w:r>
              <w:t>External adapters map vào canonical application commands; mapping failure không tạo guessed facts.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A-014</w:t>
            </w:r>
          </w:p>
        </w:tc>
        <w:tc>
          <w:tcPr>
            <w:tcW w:type="dxa" w:w="3456"/>
          </w:tcPr>
          <w:p>
            <w:r>
              <w:t>Capability</w:t>
            </w:r>
          </w:p>
        </w:tc>
        <w:tc>
          <w:tcPr>
            <w:tcW w:type="dxa" w:w="3456"/>
          </w:tcPr>
          <w:p>
            <w:r>
              <w:t>Module/capability có thể bật/tắt theo tenant nhưng không fork Core Business Model.</w:t>
            </w:r>
          </w:p>
        </w:tc>
      </w:tr>
    </w:tbl>
    <w:p>
      <w:pPr>
        <w:pStyle w:val="Heading1"/>
      </w:pPr>
      <w:r>
        <w:t>6. Runtime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3456"/>
          </w:tcPr>
          <w:p>
            <w:r>
              <w:rPr>
                <w:b/>
              </w:rPr>
              <w:t>Layer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Web/API Host</w:t>
            </w:r>
          </w:p>
        </w:tc>
        <w:tc>
          <w:tcPr>
            <w:tcW w:type="dxa" w:w="3456"/>
          </w:tcPr>
          <w:p>
            <w:r>
              <w:t>Expose REST/query/command endpoints</w:t>
            </w:r>
          </w:p>
        </w:tc>
        <w:tc>
          <w:tcPr>
            <w:tcW w:type="dxa" w:w="3456"/>
          </w:tcPr>
          <w:p>
            <w:r>
              <w:t>Presentation/API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Application Core</w:t>
            </w:r>
          </w:p>
        </w:tc>
        <w:tc>
          <w:tcPr>
            <w:tcW w:type="dxa" w:w="3456"/>
          </w:tcPr>
          <w:p>
            <w:r>
              <w:t>Use-case orchestration, transactions, authorization hooks</w:t>
            </w:r>
          </w:p>
        </w:tc>
        <w:tc>
          <w:tcPr>
            <w:tcW w:type="dxa" w:w="3456"/>
          </w:tcPr>
          <w:p>
            <w:r>
              <w:t>Application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Domain Modules</w:t>
            </w:r>
          </w:p>
        </w:tc>
        <w:tc>
          <w:tcPr>
            <w:tcW w:type="dxa" w:w="3456"/>
          </w:tcPr>
          <w:p>
            <w:r>
              <w:t>15 bounded modules</w:t>
            </w:r>
          </w:p>
        </w:tc>
        <w:tc>
          <w:tcPr>
            <w:tcW w:type="dxa" w:w="3456"/>
          </w:tcPr>
          <w:p>
            <w:r>
              <w:t>Domain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Persistence Adapter</w:t>
            </w:r>
          </w:p>
        </w:tc>
        <w:tc>
          <w:tcPr>
            <w:tcW w:type="dxa" w:w="3456"/>
          </w:tcPr>
          <w:p>
            <w:r>
              <w:t>Repositories/unit-of-work/query projections</w:t>
            </w:r>
          </w:p>
        </w:tc>
        <w:tc>
          <w:tcPr>
            <w:tcW w:type="dxa" w:w="3456"/>
          </w:tcPr>
          <w:p>
            <w:r>
              <w:t>Infrastructure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Integration Worker</w:t>
            </w:r>
          </w:p>
        </w:tc>
        <w:tc>
          <w:tcPr>
            <w:tcW w:type="dxa" w:w="3456"/>
          </w:tcPr>
          <w:p>
            <w:r>
              <w:t>Inbound/outbound processing, retry, idempotency</w:t>
            </w:r>
          </w:p>
        </w:tc>
        <w:tc>
          <w:tcPr>
            <w:tcW w:type="dxa" w:w="3456"/>
          </w:tcPr>
          <w:p>
            <w:r>
              <w:t>Infrastructure/Application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Async Job Worker</w:t>
            </w:r>
          </w:p>
        </w:tc>
        <w:tc>
          <w:tcPr>
            <w:tcW w:type="dxa" w:w="3456"/>
          </w:tcPr>
          <w:p>
            <w:r>
              <w:t>Rating batch, reconciliation, export, projection rebuild as needed</w:t>
            </w:r>
          </w:p>
        </w:tc>
        <w:tc>
          <w:tcPr>
            <w:tcW w:type="dxa" w:w="3456"/>
          </w:tcPr>
          <w:p>
            <w:r>
              <w:t>Infrastructure/Application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Read Model Store</w:t>
            </w:r>
          </w:p>
        </w:tc>
        <w:tc>
          <w:tcPr>
            <w:tcW w:type="dxa" w:w="3456"/>
          </w:tcPr>
          <w:p>
            <w:r>
              <w:t>Financial profile/dashboard/search projections</w:t>
            </w:r>
          </w:p>
        </w:tc>
        <w:tc>
          <w:tcPr>
            <w:tcW w:type="dxa" w:w="3456"/>
          </w:tcPr>
          <w:p>
            <w:r>
              <w:t>Read Model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Audit Sink</w:t>
            </w:r>
          </w:p>
        </w:tc>
        <w:tc>
          <w:tcPr>
            <w:tcW w:type="dxa" w:w="3456"/>
          </w:tcPr>
          <w:p>
            <w:r>
              <w:t>Append audit/event persistence</w:t>
            </w:r>
          </w:p>
        </w:tc>
        <w:tc>
          <w:tcPr>
            <w:tcW w:type="dxa" w:w="3456"/>
          </w:tcPr>
          <w:p>
            <w:r>
              <w:t>Infrastructure</w:t>
            </w:r>
          </w:p>
        </w:tc>
      </w:tr>
    </w:tbl>
    <w:p>
      <w:pPr>
        <w:pStyle w:val="Heading1"/>
      </w:pPr>
      <w:r>
        <w:t>7. Command &amp; Query Flow</w:t>
      </w:r>
    </w:p>
    <w:p>
      <w:pPr>
        <w:pStyle w:val="ListBullet"/>
      </w:pPr>
      <w:r>
        <w:t>Command: API → authorization/context → application use case → domain invariant/policy → repository/unit-of-work → audit/event → response.</w:t>
      </w:r>
    </w:p>
    <w:p>
      <w:pPr>
        <w:pStyle w:val="ListBullet"/>
      </w:pPr>
      <w:r>
        <w:t>Query: API → data scope → query/read model → projection/source read → response.</w:t>
      </w:r>
    </w:p>
    <w:p>
      <w:pPr>
        <w:pStyle w:val="ListBullet"/>
      </w:pPr>
      <w:r>
        <w:t>Cross-module command không bypass application contract để update bảng của module khác.</w:t>
      </w:r>
    </w:p>
    <w:p>
      <w:pPr>
        <w:pStyle w:val="ListBullet"/>
      </w:pPr>
      <w:r>
        <w:t>Financial Profile có thể compose Cost, Revenue, AP/AR, Settlement, Control và Snapshot nhưng không ghi ngược economic facts.</w:t>
      </w:r>
    </w:p>
    <w:p>
      <w:pPr>
        <w:pStyle w:val="Heading1"/>
      </w:pPr>
      <w:r>
        <w:t>8. Transaction &amp; Event Boundary Baseline</w:t>
      </w:r>
    </w:p>
    <w:p>
      <w:pPr>
        <w:pStyle w:val="ListBullet"/>
      </w:pPr>
      <w:r>
        <w:t>Trong Modular Monolith, command quan trọng ưu tiên một local database transaction khi cùng consistency boundary.</w:t>
      </w:r>
    </w:p>
    <w:p>
      <w:pPr>
        <w:pStyle w:val="ListBullet"/>
      </w:pPr>
      <w:r>
        <w:t>Side effect không cần atomic với core transaction có thể phát qua durable outbox/event mechanism; exact implementation khóa ở TD4/TD5.</w:t>
      </w:r>
    </w:p>
    <w:p>
      <w:pPr>
        <w:pStyle w:val="ListBullet"/>
      </w:pPr>
      <w:r>
        <w:t>Retry consumer phải idempotent theo TD2.</w:t>
      </w:r>
    </w:p>
    <w:p>
      <w:pPr>
        <w:pStyle w:val="ListBullet"/>
      </w:pPr>
      <w:r>
        <w:t>Không dùng event để che giấu business invariant cần đồng bộ trong cùng command.</w:t>
      </w:r>
    </w:p>
    <w:p>
      <w:pPr>
        <w:pStyle w:val="Heading1"/>
      </w:pPr>
      <w:r>
        <w:t>9. Ownership &amp;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Business Capability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Owning Module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Ghi chú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Bill Financial Anchor</w:t>
            </w:r>
          </w:p>
        </w:tc>
        <w:tc>
          <w:tcPr>
            <w:tcW w:type="dxa" w:w="3456"/>
          </w:tcPr>
          <w:p>
            <w:r>
              <w:t>M03 + M12</w:t>
            </w:r>
          </w:p>
        </w:tc>
        <w:tc>
          <w:tcPr>
            <w:tcW w:type="dxa" w:w="3456"/>
          </w:tcPr>
          <w:p>
            <w:r>
              <w:t>M03 owns reference; M12 composes financial view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Rate &amp; Pricing</w:t>
            </w:r>
          </w:p>
        </w:tc>
        <w:tc>
          <w:tcPr>
            <w:tcW w:type="dxa" w:w="3456"/>
          </w:tcPr>
          <w:p>
            <w:r>
              <w:t>M04</w:t>
            </w:r>
          </w:p>
        </w:tc>
        <w:tc>
          <w:tcPr>
            <w:tcW w:type="dxa" w:w="3456"/>
          </w:tcPr>
          <w:p>
            <w:r>
              <w:t>Expected financials only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Cost + Allocation</w:t>
            </w:r>
          </w:p>
        </w:tc>
        <w:tc>
          <w:tcPr>
            <w:tcW w:type="dxa" w:w="3456"/>
          </w:tcPr>
          <w:p>
            <w:r>
              <w:t>M05</w:t>
            </w:r>
          </w:p>
        </w:tc>
        <w:tc>
          <w:tcPr>
            <w:tcW w:type="dxa" w:w="3456"/>
          </w:tcPr>
          <w:p>
            <w:r>
              <w:t>Own economic Cost and allocation history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Revenue</w:t>
            </w:r>
          </w:p>
        </w:tc>
        <w:tc>
          <w:tcPr>
            <w:tcW w:type="dxa" w:w="3456"/>
          </w:tcPr>
          <w:p>
            <w:r>
              <w:t>M06</w:t>
            </w:r>
          </w:p>
        </w:tc>
        <w:tc>
          <w:tcPr>
            <w:tcW w:type="dxa" w:w="3456"/>
          </w:tcPr>
          <w:p>
            <w:r>
              <w:t>Own economic Revenue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DN/Invoice Matching</w:t>
            </w:r>
          </w:p>
        </w:tc>
        <w:tc>
          <w:tcPr>
            <w:tcW w:type="dxa" w:w="3456"/>
          </w:tcPr>
          <w:p>
            <w:r>
              <w:t>M07</w:t>
            </w:r>
          </w:p>
        </w:tc>
        <w:tc>
          <w:tcPr>
            <w:tcW w:type="dxa" w:w="3456"/>
          </w:tcPr>
          <w:p>
            <w:r>
              <w:t>Own document lifecycle/matching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Exposure/AP/AR</w:t>
            </w:r>
          </w:p>
        </w:tc>
        <w:tc>
          <w:tcPr>
            <w:tcW w:type="dxa" w:w="3456"/>
          </w:tcPr>
          <w:p>
            <w:r>
              <w:t>M08</w:t>
            </w:r>
          </w:p>
        </w:tc>
        <w:tc>
          <w:tcPr>
            <w:tcW w:type="dxa" w:w="3456"/>
          </w:tcPr>
          <w:p>
            <w:r>
              <w:t>Own recognition layer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Payment/Collection</w:t>
            </w:r>
          </w:p>
        </w:tc>
        <w:tc>
          <w:tcPr>
            <w:tcW w:type="dxa" w:w="3456"/>
          </w:tcPr>
          <w:p>
            <w:r>
              <w:t>M09</w:t>
            </w:r>
          </w:p>
        </w:tc>
        <w:tc>
          <w:tcPr>
            <w:tcW w:type="dxa" w:w="3456"/>
          </w:tcPr>
          <w:p>
            <w:r>
              <w:t>Own settlement transaction/allocation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Reconciliation/Exception/Approval</w:t>
            </w:r>
          </w:p>
        </w:tc>
        <w:tc>
          <w:tcPr>
            <w:tcW w:type="dxa" w:w="3456"/>
          </w:tcPr>
          <w:p>
            <w:r>
              <w:t>M10</w:t>
            </w:r>
          </w:p>
        </w:tc>
        <w:tc>
          <w:tcPr>
            <w:tcW w:type="dxa" w:w="3456"/>
          </w:tcPr>
          <w:p>
            <w:r>
              <w:t>Control layer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Financial Close Snapshot</w:t>
            </w:r>
          </w:p>
        </w:tc>
        <w:tc>
          <w:tcPr>
            <w:tcW w:type="dxa" w:w="3456"/>
          </w:tcPr>
          <w:p>
            <w:r>
              <w:t>M11</w:t>
            </w:r>
          </w:p>
        </w:tc>
        <w:tc>
          <w:tcPr>
            <w:tcW w:type="dxa" w:w="3456"/>
          </w:tcPr>
          <w:p>
            <w:r>
              <w:t>Own immutable close history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Policies</w:t>
            </w:r>
          </w:p>
        </w:tc>
        <w:tc>
          <w:tcPr>
            <w:tcW w:type="dxa" w:w="3456"/>
          </w:tcPr>
          <w:p>
            <w:r>
              <w:t>M13</w:t>
            </w:r>
          </w:p>
        </w:tc>
        <w:tc>
          <w:tcPr>
            <w:tcW w:type="dxa" w:w="3456"/>
          </w:tcPr>
          <w:p>
            <w:r>
              <w:t>Versioned configuration resolution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Integration Idempotency</w:t>
            </w:r>
          </w:p>
        </w:tc>
        <w:tc>
          <w:tcPr>
            <w:tcW w:type="dxa" w:w="3456"/>
          </w:tcPr>
          <w:p>
            <w:r>
              <w:t>M14</w:t>
            </w:r>
          </w:p>
        </w:tc>
        <w:tc>
          <w:tcPr>
            <w:tcW w:type="dxa" w:w="3456"/>
          </w:tcPr>
          <w:p>
            <w:r>
              <w:t>External boundary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Audit Trail</w:t>
            </w:r>
          </w:p>
        </w:tc>
        <w:tc>
          <w:tcPr>
            <w:tcW w:type="dxa" w:w="3456"/>
          </w:tcPr>
          <w:p>
            <w:r>
              <w:t>M15</w:t>
            </w:r>
          </w:p>
        </w:tc>
        <w:tc>
          <w:tcPr>
            <w:tcW w:type="dxa" w:w="3456"/>
          </w:tcPr>
          <w:p>
            <w:r>
              <w:t>Cross-cutting trace</w:t>
            </w:r>
          </w:p>
        </w:tc>
      </w:tr>
    </w:tbl>
    <w:p>
      <w:pPr>
        <w:pStyle w:val="Heading1"/>
      </w:pPr>
      <w:r>
        <w:t>10. Capability Configuration</w:t>
      </w:r>
    </w:p>
    <w:p>
      <w:r>
        <w:t>Tenant có thể bật/tắt capability hoặc đơn giản hóa operational depth. Việc cấu hình không tạo schema/business logic fork theo Small/Medium/Large. Module vẫn dùng một canonical Core Business Model.</w:t>
      </w:r>
    </w:p>
    <w:p>
      <w:pPr>
        <w:pStyle w:val="Heading1"/>
      </w:pPr>
      <w:r>
        <w:t>11. Decision Log TD3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Kết quả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TD3-ARCH-001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Modular Monolith / Modular Architecture là baseline; chưa tách microservices.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TD3-ARCH-002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Business modules sở hữu aggregate/source tables; cấm shared write xuyên module.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TD3-ARCH-003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Command/query cross-module đi qua contract/application boundary.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TD3-ARCH-004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Financial Profile/Dashboard là read model derived; không là source of truth.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TD3-ARCH-005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Integration adapters gọi canonical application commands và giữ idempotency.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TD3-ARCH-006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Domain events hỗ trợ orchestration/projection/integration nhưng không nhân đôi economic fact.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TD3-ARCH-007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Capability configuration không tạo nhiều codebase/business model theo quy mô doanh nghiệp.</w:t>
            </w:r>
          </w:p>
        </w:tc>
      </w:tr>
    </w:tbl>
    <w:p>
      <w:pPr>
        <w:pStyle w:val="Heading1"/>
      </w:pPr>
      <w:r>
        <w:t>12. Carry Forward</w:t>
      </w:r>
    </w:p>
    <w:p>
      <w:r>
        <w:t>TD4 sẽ khóa state transition enforcement, transaction boundaries, optimistic concurrency, idempotent command execution, outbox/event atomicity, financial locking, reversal/adjustment integrity và close-period protection. TD5 sẽ khóa auth technology, secrets, observability, NFR và deployment topology.</w:t>
      </w:r>
    </w:p>
    <w:p>
      <w:pPr>
        <w:pStyle w:val="Heading1"/>
      </w:pPr>
      <w:r>
        <w:t>13. Completion</w:t>
      </w:r>
    </w:p>
    <w:p>
      <w:r>
        <w:t>TD3 — Module / Application Architecture: 100% — COMPLETED / PACKAGED. Không còn [DECISION REQUIRED] ở mức TD3.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