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LCMS — TECHNICAL DESIGN 5</w:t>
      </w:r>
    </w:p>
    <w:p>
      <w:pPr>
        <w:jc w:val="center"/>
      </w:pPr>
      <w:r>
        <w:rPr>
          <w:b/>
          <w:sz w:val="26"/>
        </w:rPr>
        <w:t>SECURITY, AUDIT, NFR &amp; DEPLOYMENT ARCHITECTURE — V1.0</w:t>
      </w:r>
    </w:p>
    <w:p>
      <w:pPr>
        <w:jc w:val="center"/>
      </w:pPr>
      <w:r>
        <w:rPr>
          <w:i/>
        </w:rPr>
        <w:t>Logistics Cost Management System (LCMS) — Dev Handover Technical Baseline</w:t>
      </w:r>
    </w:p>
    <w:p>
      <w:pPr>
        <w:pStyle w:val="Heading1"/>
      </w:pPr>
      <w:r>
        <w:t>1. Mục tiêu và phạm vi</w:t>
      </w:r>
    </w:p>
    <w:p>
      <w:r>
        <w:t>TD5 xác lập kiến trúc bảo mật, audit, non-functional requirements (NFR), observability, backup/DR, deployment và release governance cho LCMS. Tài liệu không tự chọn vendor/framework khi chưa có dữ liệu vận hành; các technology choices được carry forward sang TD6/implementation planning nhưng phải tuân thủ các guardrail đã khóa.</w:t>
      </w:r>
    </w:p>
    <w:p>
      <w:r>
        <w:t>Nguyên tắc ngôn ngữ CP6.5 vẫn LOCKED: mô tả nghiệp vụ/UI ưu tiên tiếng Việt; English giữ cho canonical technical terms, API/DB/module/code key. Dev không được hiển thị trực tiếp enum/code key lên UI.</w:t>
      </w:r>
    </w:p>
    <w:p>
      <w:pPr>
        <w:pStyle w:val="Heading1"/>
      </w:pPr>
      <w:r>
        <w:t>2. Security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936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512"/>
            <w:vAlign w:val="center"/>
          </w:tcPr>
          <w:p>
            <w:r>
              <w:rPr>
                <w:b/>
                <w:sz w:val="16"/>
              </w:rPr>
              <w:t>Kiểm soát</w:t>
            </w:r>
          </w:p>
        </w:tc>
        <w:tc>
          <w:tcPr>
            <w:tcW w:type="dxa" w:w="3096"/>
            <w:vAlign w:val="center"/>
          </w:tcPr>
          <w:p>
            <w:r>
              <w:rPr>
                <w:b/>
                <w:sz w:val="16"/>
              </w:rPr>
              <w:t>Thiết kế kỹ thuật</w:t>
            </w:r>
          </w:p>
        </w:tc>
        <w:tc>
          <w:tcPr>
            <w:tcW w:type="dxa" w:w="3384"/>
            <w:vAlign w:val="center"/>
          </w:tcPr>
          <w:p>
            <w:r>
              <w:rPr>
                <w:b/>
                <w:sz w:val="16"/>
              </w:rPr>
              <w:t>Guardrail</w:t>
            </w:r>
          </w:p>
        </w:tc>
        <w:tc>
          <w:tcPr>
            <w:tcW w:type="dxa" w:w="1152"/>
            <w:vAlign w:val="center"/>
          </w:tcPr>
          <w:p>
            <w:r>
              <w:rPr>
                <w:b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r>
              <w:rPr>
                <w:sz w:val="15"/>
              </w:rPr>
              <w:t>SEC-001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5"/>
              </w:rPr>
              <w:t>Xác thực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Identity Provider / OIDC-OAuth2 compatible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5"/>
              </w:rPr>
              <w:t>Không tự xây password/auth engine nếu không cần; công nghệ cụ thể chọn khi implementation.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M01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r>
              <w:rPr>
                <w:sz w:val="15"/>
              </w:rPr>
              <w:t>SEC-002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5"/>
              </w:rPr>
              <w:t>Phân quyền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User/Role × Action Permission × Data Scope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5"/>
              </w:rPr>
              <w:t>Enforce server-side; UI hiding không phải security boundary.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M01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r>
              <w:rPr>
                <w:sz w:val="15"/>
              </w:rPr>
              <w:t>SEC-003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5"/>
              </w:rPr>
              <w:t>Tenant isolation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tenant_id context + repository/query guard + constraint/index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5"/>
              </w:rPr>
              <w:t>Mọi request/job/integration có tenant context hợp lệ.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M01/M14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r>
              <w:rPr>
                <w:sz w:val="15"/>
              </w:rPr>
              <w:t>SEC-004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5"/>
              </w:rPr>
              <w:t>Service identity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Tách user identity và machine/service identity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5"/>
              </w:rPr>
              <w:t>Credential scope tối thiểu; rotate/revoke độc lập.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M01/M14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r>
              <w:rPr>
                <w:sz w:val="15"/>
              </w:rPr>
              <w:t>SEC-005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5"/>
              </w:rPr>
              <w:t>SoD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Maker-checker/segregation rules cấu hình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5"/>
              </w:rPr>
              <w:t>Áp dụng approval/close/reopen/override theo policy.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M01/M10/M11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r>
              <w:rPr>
                <w:sz w:val="15"/>
              </w:rPr>
              <w:t>SEC-006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5"/>
              </w:rPr>
              <w:t>Authorization context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Tenant + user/service + role + action + scope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5"/>
              </w:rPr>
              <w:t>Audit quyết định deny/privileged action khi cần.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Cross-cutting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r>
              <w:rPr>
                <w:sz w:val="15"/>
              </w:rPr>
              <w:t>SEC-007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5"/>
              </w:rPr>
              <w:t>API protection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AuthN/AuthZ + validation + rate/abuse control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5"/>
              </w:rPr>
              <w:t>Không tin dữ liệu client; command guard vẫn ở domain.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API Host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r>
              <w:rPr>
                <w:sz w:val="15"/>
              </w:rPr>
              <w:t>SEC-008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5"/>
              </w:rPr>
              <w:t>Secrets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Secret manager/environment injection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5"/>
              </w:rPr>
              <w:t>Không commit secret; phân tách theo environment; rotation.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Infrastructure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r>
              <w:rPr>
                <w:sz w:val="15"/>
              </w:rPr>
              <w:t>SEC-009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5"/>
              </w:rPr>
              <w:t>Encryption in transit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TLS cho client, internal và external integration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5"/>
              </w:rPr>
              <w:t>Không truyền credential/financial payload qua plaintext.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Infrastructure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r>
              <w:rPr>
                <w:sz w:val="15"/>
              </w:rPr>
              <w:t>SEC-010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5"/>
              </w:rPr>
              <w:t>Encryption at rest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DB/object/backup encryption theo managed platform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5"/>
              </w:rPr>
              <w:t>Key access tách biệt, least privilege.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Infrastructure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r>
              <w:rPr>
                <w:sz w:val="15"/>
              </w:rPr>
              <w:t>SEC-011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5"/>
              </w:rPr>
              <w:t>Sensitive logging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Redact/mask token, credential, PII nhạy cảm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5"/>
              </w:rPr>
              <w:t>Correlation vẫn giữ được mà không lộ secret.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M15/Observability</w:t>
            </w:r>
          </w:p>
        </w:tc>
      </w:tr>
      <w:tr>
        <w:trPr>
          <w:cantSplit/>
        </w:trPr>
        <w:tc>
          <w:tcPr>
            <w:tcW w:type="dxa" w:w="936"/>
            <w:vAlign w:val="top"/>
          </w:tcPr>
          <w:p>
            <w:r>
              <w:rPr>
                <w:sz w:val="15"/>
              </w:rPr>
              <w:t>SEC-012</w:t>
            </w:r>
          </w:p>
        </w:tc>
        <w:tc>
          <w:tcPr>
            <w:tcW w:type="dxa" w:w="1512"/>
            <w:vAlign w:val="top"/>
          </w:tcPr>
          <w:p>
            <w:r>
              <w:rPr>
                <w:sz w:val="15"/>
              </w:rPr>
              <w:t>Integration trust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5"/>
              </w:rPr>
              <w:t>Signed/verified webhook khi provider hỗ trợ + idempotency</w:t>
            </w:r>
          </w:p>
        </w:tc>
        <w:tc>
          <w:tcPr>
            <w:tcW w:type="dxa" w:w="3384"/>
            <w:vAlign w:val="top"/>
          </w:tcPr>
          <w:p>
            <w:r>
              <w:rPr>
                <w:sz w:val="15"/>
              </w:rPr>
              <w:t>Mapping failure không tạo financial fact giả.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5"/>
              </w:rPr>
              <w:t>M14</w:t>
            </w:r>
          </w:p>
        </w:tc>
      </w:tr>
    </w:tbl>
    <w:p>
      <w:pPr>
        <w:spacing w:after="20"/>
      </w:pPr>
    </w:p>
    <w:p>
      <w:pPr>
        <w:pStyle w:val="Heading1"/>
      </w:pPr>
      <w:r>
        <w:t>3. Audit &amp; Traceability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008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  <w:sz w:val="16"/>
              </w:rPr>
              <w:t>Sự kiện/đối tượng</w:t>
            </w:r>
          </w:p>
        </w:tc>
        <w:tc>
          <w:tcPr>
            <w:tcW w:type="dxa" w:w="3816"/>
            <w:vAlign w:val="center"/>
          </w:tcPr>
          <w:p>
            <w:r>
              <w:rPr>
                <w:b/>
                <w:sz w:val="16"/>
              </w:rPr>
              <w:t>Audit payload tối thiểu</w:t>
            </w:r>
          </w:p>
        </w:tc>
        <w:tc>
          <w:tcPr>
            <w:tcW w:type="dxa" w:w="3888"/>
            <w:vAlign w:val="center"/>
          </w:tcPr>
          <w:p>
            <w:r>
              <w:rPr>
                <w:b/>
                <w:sz w:val="16"/>
              </w:rPr>
              <w:t>Yêu cầu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AUD-001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Financial mutation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5"/>
              </w:rPr>
              <w:t>Ai/khi nào/tenant/object/action/before-after hoặc delta/reason/correlation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5"/>
              </w:rPr>
              <w:t>Bắt buộc cho Cost/Revenue/Document/AP/AR/Settlement/Close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AUD-002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Privileged access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5"/>
              </w:rPr>
              <w:t>Role/permission/config/security change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5"/>
              </w:rPr>
              <w:t>Ghi actor + target + previous/new value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AUD-003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Approval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5"/>
              </w:rPr>
              <w:t>Request/decision/reject/cancel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5"/>
              </w:rPr>
              <w:t>Actor, role, time, reason, policy/version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AUD-004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Override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5"/>
              </w:rPr>
              <w:t>Manual adjustment/match/reconciliation/exception override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5"/>
              </w:rPr>
              <w:t>Reason bắt buộc; reference chứng từ nếu có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AUD-005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Close lifecycle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5"/>
              </w:rPr>
              <w:t>Close/reopen/reclose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5"/>
              </w:rPr>
              <w:t>Eligibility result + snapshot/version + actor/reason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AUD-006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Integration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5"/>
              </w:rPr>
              <w:t>Source, external identity, event/request, outcome, retry/correlation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5"/>
              </w:rPr>
              <w:t>Không lưu secret/raw sensitive payload vượt nhu cầu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AUD-007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Authentication security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5"/>
              </w:rPr>
              <w:t>Login/session/security event theo IdP capability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5"/>
              </w:rPr>
              <w:t>Retention/access theo security policy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AUD-008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5"/>
              </w:rPr>
              <w:t>Immutability</w:t>
            </w:r>
          </w:p>
        </w:tc>
        <w:tc>
          <w:tcPr>
            <w:tcW w:type="dxa" w:w="3816"/>
            <w:vAlign w:val="top"/>
          </w:tcPr>
          <w:p>
            <w:r>
              <w:rPr>
                <w:sz w:val="15"/>
              </w:rPr>
              <w:t>Audit append-oriented; không business-edit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5"/>
              </w:rPr>
              <w:t>Correction bằng event bổ sung; access audit hạn chế</w:t>
            </w:r>
          </w:p>
        </w:tc>
      </w:tr>
    </w:tbl>
    <w:p>
      <w:pPr>
        <w:spacing w:after="20"/>
      </w:pPr>
    </w:p>
    <w:p>
      <w:pPr>
        <w:pStyle w:val="Heading1"/>
      </w:pPr>
      <w:r>
        <w:t>4. NFR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1008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6"/>
              </w:rPr>
              <w:t>Nhóm</w:t>
            </w:r>
          </w:p>
        </w:tc>
        <w:tc>
          <w:tcPr>
            <w:tcW w:type="dxa" w:w="4464"/>
            <w:vAlign w:val="center"/>
          </w:tcPr>
          <w:p>
            <w:r>
              <w:rPr>
                <w:b/>
                <w:sz w:val="16"/>
              </w:rPr>
              <w:t>Yêu cầu</w:t>
            </w:r>
          </w:p>
        </w:tc>
        <w:tc>
          <w:tcPr>
            <w:tcW w:type="dxa" w:w="2088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  <w:sz w:val="16"/>
              </w:rPr>
              <w:t>Carry-forward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NFR-001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Availability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5"/>
              </w:rPr>
              <w:t>Mục tiêu cụ thể theo gói triển khai/SLA; kiến trúc không có single point không được quản trị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5"/>
              </w:rPr>
              <w:t>[PROPOSAL]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TD6/Implementation sizing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NFR-002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Performance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5"/>
              </w:rPr>
              <w:t>Interactive financial screens phải có pagination/index/read model; không scan transaction tables tùy ý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5"/>
              </w:rPr>
              <w:t>[ARCHITECTURE AGREED]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Performance test threshold chốt theo workload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NFR-003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Scalability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5"/>
              </w:rPr>
              <w:t>Scale web/API stateless; worker scale độc lập; DB/read model tối ưu theo workload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5"/>
              </w:rPr>
              <w:t>[ARCHITECTURE AGREED]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Không microservice hóa chỉ để scale sớm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NFR-004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Consistency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5"/>
              </w:rPr>
              <w:t>Core financial commands strong consistency trong boundary; read model eventual consistency có as_of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5"/>
              </w:rPr>
              <w:t>[ARCHITECTURE AGREED]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Kế thừa TD4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NFR-005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Resilience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5"/>
              </w:rPr>
              <w:t>Retry có backoff/idempotency; DLQ/error queue cho async/integration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5"/>
              </w:rPr>
              <w:t>[ARCHITECTURE AGREED]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Không retry mù financial command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NFR-006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Observability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5"/>
              </w:rPr>
              <w:t>Structured logs + metrics + traces/correlation ID + alerting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5"/>
              </w:rPr>
              <w:t>[ARCHITECTURE AGREED]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Không log secret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NFR-007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Backup/Restore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5"/>
              </w:rPr>
              <w:t>Automated backup + restore test định kỳ; RPO/RTO cấu hình theo deployment tier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5"/>
              </w:rPr>
              <w:t>[ARCHITECTURE AGREED]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Exact RPO/RTO cần hạ tầng/workload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NFR-008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Disaster Recovery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5"/>
              </w:rPr>
              <w:t>Runbook + owner + restore/failover rehearsal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5"/>
              </w:rPr>
              <w:t>[ARCHITECTURE AGREED]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Topology cụ thể theo hosting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NFR-009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Data retention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5"/>
              </w:rPr>
              <w:t>Policy theo loại dữ liệu/audit/chứng từ/pháp lý và tenant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5"/>
              </w:rPr>
              <w:t>[ARCHITECTURE AGREED]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Không hard-code một retention cho mọi tenant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NFR-010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Maintainability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5"/>
              </w:rPr>
              <w:t>Module ownership, migration discipline, backward-compatible contract khi cần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5"/>
              </w:rPr>
              <w:t>[ARCHITECTURE AGREED]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Kế thừa TD1–TD3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NFR-011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Security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5"/>
              </w:rPr>
              <w:t>Least privilege, encryption, secret hygiene, vulnerability/patch process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5"/>
              </w:rPr>
              <w:t>[ARCHITECTURE AGREED]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Security gate trong release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NFR-012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Localization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5"/>
              </w:rPr>
              <w:t>Vietnamese UX Language Rule; code/API/DB English được mapping sang UI tiếng Việt</w:t>
            </w:r>
          </w:p>
        </w:tc>
        <w:tc>
          <w:tcPr>
            <w:tcW w:type="dxa" w:w="2088"/>
            <w:vAlign w:val="top"/>
          </w:tcPr>
          <w:p>
            <w:r>
              <w:rPr>
                <w:sz w:val="15"/>
              </w:rPr>
              <w:t>[ARCHITECTURE AGREED]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5"/>
              </w:rPr>
              <w:t>Không expose enum/code trực tiếp lên UI</w:t>
            </w:r>
          </w:p>
        </w:tc>
      </w:tr>
    </w:tbl>
    <w:p>
      <w:pPr>
        <w:spacing w:after="20"/>
      </w:pPr>
    </w:p>
    <w:p>
      <w:pPr>
        <w:pStyle w:val="Heading1"/>
      </w:pPr>
      <w:r>
        <w:t>5. Deployment Architecture Baseline</w:t>
      </w:r>
    </w:p>
    <w:p>
      <w:r>
        <w:t>Baseline giữ nguyên quyết định TD3: Modular Monolith, không microservices hóa sớm. Web/API stateless và worker có thể scale độc lập; transactional database vẫn là nguồn sự thật tài chính. Read model/cache/queue là thành phần hỗ trợ, không thay thế source of truth.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1008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6"/>
              </w:rPr>
              <w:t>Thành phần</w:t>
            </w:r>
          </w:p>
        </w:tc>
        <w:tc>
          <w:tcPr>
            <w:tcW w:type="dxa" w:w="2736"/>
            <w:vAlign w:val="center"/>
          </w:tcPr>
          <w:p>
            <w:r>
              <w:rPr>
                <w:b/>
                <w:sz w:val="16"/>
              </w:rPr>
              <w:t>Baseline</w:t>
            </w:r>
          </w:p>
        </w:tc>
        <w:tc>
          <w:tcPr>
            <w:tcW w:type="dxa" w:w="3960"/>
            <w:vAlign w:val="center"/>
          </w:tcPr>
          <w:p>
            <w:r>
              <w:rPr>
                <w:b/>
                <w:sz w:val="16"/>
              </w:rPr>
              <w:t>Vai trò/Guardrail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6"/>
              </w:rPr>
              <w:t>Layer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DEP-001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Baseline</w:t>
            </w:r>
          </w:p>
        </w:tc>
        <w:tc>
          <w:tcPr>
            <w:tcW w:type="dxa" w:w="2736"/>
            <w:vAlign w:val="top"/>
          </w:tcPr>
          <w:p>
            <w:r>
              <w:rPr>
                <w:sz w:val="15"/>
              </w:rPr>
              <w:t>Modular Monolith</w:t>
            </w:r>
          </w:p>
        </w:tc>
        <w:tc>
          <w:tcPr>
            <w:tcW w:type="dxa" w:w="3960"/>
            <w:vAlign w:val="top"/>
          </w:tcPr>
          <w:p>
            <w:r>
              <w:rPr>
                <w:sz w:val="15"/>
              </w:rPr>
              <w:t>Một deployable application core; module boundary rõ.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TD3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DEP-002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Web/API</w:t>
            </w:r>
          </w:p>
        </w:tc>
        <w:tc>
          <w:tcPr>
            <w:tcW w:type="dxa" w:w="2736"/>
            <w:vAlign w:val="top"/>
          </w:tcPr>
          <w:p>
            <w:r>
              <w:rPr>
                <w:sz w:val="15"/>
              </w:rPr>
              <w:t>Stateless application instances</w:t>
            </w:r>
          </w:p>
        </w:tc>
        <w:tc>
          <w:tcPr>
            <w:tcW w:type="dxa" w:w="3960"/>
            <w:vAlign w:val="top"/>
          </w:tcPr>
          <w:p>
            <w:r>
              <w:rPr>
                <w:sz w:val="15"/>
              </w:rPr>
              <w:t>Có thể scale horizontal; session không phụ thuộc local process.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Runtime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DEP-003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Worker</w:t>
            </w:r>
          </w:p>
        </w:tc>
        <w:tc>
          <w:tcPr>
            <w:tcW w:type="dxa" w:w="2736"/>
            <w:vAlign w:val="top"/>
          </w:tcPr>
          <w:p>
            <w:r>
              <w:rPr>
                <w:sz w:val="15"/>
              </w:rPr>
              <w:t>Async/Integration worker tách process/runtime role</w:t>
            </w:r>
          </w:p>
        </w:tc>
        <w:tc>
          <w:tcPr>
            <w:tcW w:type="dxa" w:w="3960"/>
            <w:vAlign w:val="top"/>
          </w:tcPr>
          <w:p>
            <w:r>
              <w:rPr>
                <w:sz w:val="15"/>
              </w:rPr>
              <w:t>Outbox publish, import, retry, projection jobs.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Runtime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DEP-004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Database</w:t>
            </w:r>
          </w:p>
        </w:tc>
        <w:tc>
          <w:tcPr>
            <w:tcW w:type="dxa" w:w="2736"/>
            <w:vAlign w:val="top"/>
          </w:tcPr>
          <w:p>
            <w:r>
              <w:rPr>
                <w:sz w:val="15"/>
              </w:rPr>
              <w:t>Primary transactional database</w:t>
            </w:r>
          </w:p>
        </w:tc>
        <w:tc>
          <w:tcPr>
            <w:tcW w:type="dxa" w:w="3960"/>
            <w:vAlign w:val="top"/>
          </w:tcPr>
          <w:p>
            <w:r>
              <w:rPr>
                <w:sz w:val="15"/>
              </w:rPr>
              <w:t>Financial SoT; backup/encryption/HA theo platform.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Persistence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DEP-005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Read model</w:t>
            </w:r>
          </w:p>
        </w:tc>
        <w:tc>
          <w:tcPr>
            <w:tcW w:type="dxa" w:w="2736"/>
            <w:vAlign w:val="top"/>
          </w:tcPr>
          <w:p>
            <w:r>
              <w:rPr>
                <w:sz w:val="15"/>
              </w:rPr>
              <w:t>Logical/physical read projection</w:t>
            </w:r>
          </w:p>
        </w:tc>
        <w:tc>
          <w:tcPr>
            <w:tcW w:type="dxa" w:w="3960"/>
            <w:vAlign w:val="top"/>
          </w:tcPr>
          <w:p>
            <w:r>
              <w:rPr>
                <w:sz w:val="15"/>
              </w:rPr>
              <w:t>Có thể cùng DB giai đoạn đầu; tách khi workload yêu cầu.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M12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DEP-006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Object storage</w:t>
            </w:r>
          </w:p>
        </w:tc>
        <w:tc>
          <w:tcPr>
            <w:tcW w:type="dxa" w:w="2736"/>
            <w:vAlign w:val="top"/>
          </w:tcPr>
          <w:p>
            <w:r>
              <w:rPr>
                <w:sz w:val="15"/>
              </w:rPr>
              <w:t>Tài liệu/attachment nếu có</w:t>
            </w:r>
          </w:p>
        </w:tc>
        <w:tc>
          <w:tcPr>
            <w:tcW w:type="dxa" w:w="3960"/>
            <w:vAlign w:val="top"/>
          </w:tcPr>
          <w:p>
            <w:r>
              <w:rPr>
                <w:sz w:val="15"/>
              </w:rPr>
              <w:t>Private by default; signed access; malware/content controls khi áp dụng.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Infrastructure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DEP-007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Cache</w:t>
            </w:r>
          </w:p>
        </w:tc>
        <w:tc>
          <w:tcPr>
            <w:tcW w:type="dxa" w:w="2736"/>
            <w:vAlign w:val="top"/>
          </w:tcPr>
          <w:p>
            <w:r>
              <w:rPr>
                <w:sz w:val="15"/>
              </w:rPr>
              <w:t>Optional</w:t>
            </w:r>
          </w:p>
        </w:tc>
        <w:tc>
          <w:tcPr>
            <w:tcW w:type="dxa" w:w="3960"/>
            <w:vAlign w:val="top"/>
          </w:tcPr>
          <w:p>
            <w:r>
              <w:rPr>
                <w:sz w:val="15"/>
              </w:rPr>
              <w:t>Không là financial source of truth; invalidation/TTL rõ.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Infrastructure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DEP-008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Queue</w:t>
            </w:r>
          </w:p>
        </w:tc>
        <w:tc>
          <w:tcPr>
            <w:tcW w:type="dxa" w:w="2736"/>
            <w:vAlign w:val="top"/>
          </w:tcPr>
          <w:p>
            <w:r>
              <w:rPr>
                <w:sz w:val="15"/>
              </w:rPr>
              <w:t>Managed queue/broker hoặc DB-backed outbox worker</w:t>
            </w:r>
          </w:p>
        </w:tc>
        <w:tc>
          <w:tcPr>
            <w:tcW w:type="dxa" w:w="3960"/>
            <w:vAlign w:val="top"/>
          </w:tcPr>
          <w:p>
            <w:r>
              <w:rPr>
                <w:sz w:val="15"/>
              </w:rPr>
              <w:t>Công nghệ chọn theo scale; semantics phải giữ TD4.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Infrastructure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DEP-009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Edge/WAF</w:t>
            </w:r>
          </w:p>
        </w:tc>
        <w:tc>
          <w:tcPr>
            <w:tcW w:type="dxa" w:w="2736"/>
            <w:vAlign w:val="top"/>
          </w:tcPr>
          <w:p>
            <w:r>
              <w:rPr>
                <w:sz w:val="15"/>
              </w:rPr>
              <w:t>Reverse proxy/WAF/API gateway capability</w:t>
            </w:r>
          </w:p>
        </w:tc>
        <w:tc>
          <w:tcPr>
            <w:tcW w:type="dxa" w:w="3960"/>
            <w:vAlign w:val="top"/>
          </w:tcPr>
          <w:p>
            <w:r>
              <w:rPr>
                <w:sz w:val="15"/>
              </w:rPr>
              <w:t>TLS termination, request limits, abuse protection.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Infrastructure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r>
              <w:rPr>
                <w:sz w:val="15"/>
              </w:rPr>
              <w:t>DEP-010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Observability</w:t>
            </w:r>
          </w:p>
        </w:tc>
        <w:tc>
          <w:tcPr>
            <w:tcW w:type="dxa" w:w="2736"/>
            <w:vAlign w:val="top"/>
          </w:tcPr>
          <w:p>
            <w:r>
              <w:rPr>
                <w:sz w:val="15"/>
              </w:rPr>
              <w:t>Central log/metric/trace sink</w:t>
            </w:r>
          </w:p>
        </w:tc>
        <w:tc>
          <w:tcPr>
            <w:tcW w:type="dxa" w:w="3960"/>
            <w:vAlign w:val="top"/>
          </w:tcPr>
          <w:p>
            <w:r>
              <w:rPr>
                <w:sz w:val="15"/>
              </w:rPr>
              <w:t>Correlation xuyên request-command-event-integration.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5"/>
              </w:rPr>
              <w:t>Cross-cutting</w:t>
            </w:r>
          </w:p>
        </w:tc>
      </w:tr>
    </w:tbl>
    <w:p>
      <w:pPr>
        <w:spacing w:after="20"/>
      </w:pPr>
    </w:p>
    <w:p>
      <w:pPr>
        <w:pStyle w:val="Heading1"/>
      </w:pPr>
      <w:r>
        <w:t>6. Environment Separation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584"/>
            <w:vAlign w:val="center"/>
          </w:tcPr>
          <w:p>
            <w:r>
              <w:rPr>
                <w:b/>
                <w:sz w:val="16"/>
              </w:rPr>
              <w:t>Environment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  <w:t>Mục đích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  <w:sz w:val="16"/>
              </w:rPr>
              <w:t>Data</w:t>
            </w:r>
          </w:p>
        </w:tc>
        <w:tc>
          <w:tcPr>
            <w:tcW w:type="dxa" w:w="4608"/>
            <w:vAlign w:val="center"/>
          </w:tcPr>
          <w:p>
            <w:r>
              <w:rPr>
                <w:b/>
                <w:sz w:val="16"/>
              </w:rPr>
              <w:t>Kiểm soát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>
              <w:rPr>
                <w:sz w:val="15"/>
              </w:rPr>
              <w:t>Local/Dev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Phát triển cá nhân/nhóm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Synthetic/dev data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5"/>
              </w:rPr>
              <w:t>Không dùng production secrets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>
              <w:rPr>
                <w:sz w:val="15"/>
              </w:rPr>
              <w:t>Test/QA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Integration/regression/UAT support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Masked/synthetic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5"/>
              </w:rPr>
              <w:t>Test migration, permission, financial integrity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>
              <w:rPr>
                <w:sz w:val="15"/>
              </w:rPr>
              <w:t>Staging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Production-like validation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Masked/synthetic; cấu hình gần prod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5"/>
              </w:rPr>
              <w:t>Release candidate, smoke/performance/security validation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>
              <w:rPr>
                <w:sz w:val="15"/>
              </w:rPr>
              <w:t>Production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5"/>
              </w:rPr>
              <w:t>Live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5"/>
              </w:rPr>
              <w:t>Production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5"/>
              </w:rPr>
              <w:t>Strict access/change control/monitoring/backup</w:t>
            </w:r>
          </w:p>
        </w:tc>
      </w:tr>
    </w:tbl>
    <w:p>
      <w:pPr>
        <w:spacing w:after="20"/>
      </w:pPr>
    </w:p>
    <w:p>
      <w:pPr>
        <w:pStyle w:val="Heading1"/>
      </w:pPr>
      <w:r>
        <w:t>7. Observability &amp; Operational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152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r>
              <w:rPr>
                <w:b/>
                <w:sz w:val="16"/>
              </w:rPr>
              <w:t>Capability</w:t>
            </w:r>
          </w:p>
        </w:tc>
        <w:tc>
          <w:tcPr>
            <w:tcW w:type="dxa" w:w="8496"/>
            <w:vAlign w:val="center"/>
          </w:tcPr>
          <w:p>
            <w:r>
              <w:rPr>
                <w:b/>
                <w:sz w:val="16"/>
              </w:rPr>
              <w:t>Baseline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>
              <w:rPr>
                <w:sz w:val="15"/>
              </w:rPr>
              <w:t>OBS-001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5"/>
              </w:rPr>
              <w:t>Correlation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5"/>
              </w:rPr>
              <w:t>correlation_id/request_id xuyên API → command → DB audit → outbox → integration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>
              <w:rPr>
                <w:sz w:val="15"/>
              </w:rPr>
              <w:t>OBS-002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5"/>
              </w:rPr>
              <w:t>Logs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5"/>
              </w:rPr>
              <w:t>Structured; tenant/object/action/error code; redact secrets/sensitive payload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>
              <w:rPr>
                <w:sz w:val="15"/>
              </w:rPr>
              <w:t>OBS-003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5"/>
              </w:rPr>
              <w:t>Metrics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5"/>
              </w:rPr>
              <w:t>Latency/error rate/throughput; queue lag; integration failures; DB health; financial command conflicts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>
              <w:rPr>
                <w:sz w:val="15"/>
              </w:rPr>
              <w:t>OBS-004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5"/>
              </w:rPr>
              <w:t>Traces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5"/>
              </w:rPr>
              <w:t>Critical API/integration paths khi platform hỗ trợ; sampling policy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>
              <w:rPr>
                <w:sz w:val="15"/>
              </w:rPr>
              <w:t>OBS-005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5"/>
              </w:rPr>
              <w:t>Alerts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5"/>
              </w:rPr>
              <w:t>Availability, error spike, queue backlog, integration repeated failure, backup failure, security anomaly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>
              <w:rPr>
                <w:sz w:val="15"/>
              </w:rPr>
              <w:t>OBS-006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5"/>
              </w:rPr>
              <w:t>Business controls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5"/>
              </w:rPr>
              <w:t>Exception backlog, reconciliation issues, close blockers là business monitoring, không thay thế infra alerts</w:t>
            </w:r>
          </w:p>
        </w:tc>
      </w:tr>
    </w:tbl>
    <w:p>
      <w:pPr>
        <w:spacing w:after="20"/>
      </w:pPr>
    </w:p>
    <w:p>
      <w:pPr>
        <w:pStyle w:val="Heading1"/>
      </w:pPr>
      <w:r>
        <w:t>8. Backup, Restore &amp; Disaster Recovery</w:t>
      </w:r>
    </w:p>
    <w:p>
      <w:pPr>
        <w:pStyle w:val="ListBullet"/>
      </w:pPr>
      <w:r>
        <w:t>Backup tự động cho transactional DB và các storage chứa dữ liệu cần phục hồi; encryption và access control áp dụng cho backup.</w:t>
      </w:r>
    </w:p>
    <w:p>
      <w:pPr>
        <w:pStyle w:val="ListBullet"/>
      </w:pPr>
      <w:r>
        <w:t>Restore test phải được thực hiện định kỳ; backup chưa từng restore thử không được coi là bằng chứng DR đầy đủ.</w:t>
      </w:r>
    </w:p>
    <w:p>
      <w:pPr>
        <w:pStyle w:val="ListBullet"/>
      </w:pPr>
      <w:r>
        <w:t>RPO/RTO không tự gán số generic trong TD5; được chốt theo deployment tier, workload, ngân sách và cam kết khách hàng ở TD6/Operations.</w:t>
      </w:r>
    </w:p>
    <w:p>
      <w:pPr>
        <w:pStyle w:val="ListBullet"/>
      </w:pPr>
      <w:r>
        <w:t>Runbook phải xác định owner, escalation, restore sequence, validation sau restore và cách đối chiếu integrity của dữ liệu tài chính.</w:t>
      </w:r>
    </w:p>
    <w:p>
      <w:pPr>
        <w:pStyle w:val="ListBullet"/>
      </w:pPr>
      <w:r>
        <w:t>Close snapshots/audit/integration identities phải nằm trong phạm vi recovery phù hợp để không phá traceability.</w:t>
      </w:r>
    </w:p>
    <w:p>
      <w:pPr>
        <w:pStyle w:val="Heading1"/>
      </w:pPr>
      <w:r>
        <w:t>9. CI/CD &amp; Release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152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  <w:sz w:val="16"/>
              </w:rPr>
              <w:t>Gate</w:t>
            </w:r>
          </w:p>
        </w:tc>
        <w:tc>
          <w:tcPr>
            <w:tcW w:type="dxa" w:w="8352"/>
            <w:vAlign w:val="center"/>
          </w:tcPr>
          <w:p>
            <w:r>
              <w:rPr>
                <w:b/>
                <w:sz w:val="16"/>
              </w:rPr>
              <w:t>Yêu cầu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>
              <w:rPr>
                <w:sz w:val="15"/>
              </w:rPr>
              <w:t>REL-001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Source control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5"/>
              </w:rPr>
              <w:t>Protected main/release branch; reviewed changes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>
              <w:rPr>
                <w:sz w:val="15"/>
              </w:rPr>
              <w:t>REL-002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CI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5"/>
              </w:rPr>
              <w:t>Build + unit + integration + static/security checks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>
              <w:rPr>
                <w:sz w:val="15"/>
              </w:rPr>
              <w:t>REL-003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DB migration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5"/>
              </w:rPr>
              <w:t>Versioned forward migration; tested backup/rollback/roll-forward strategy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>
              <w:rPr>
                <w:sz w:val="15"/>
              </w:rPr>
              <w:t>REL-004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CD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5"/>
              </w:rPr>
              <w:t>Promote same artifact/config-separated environments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>
              <w:rPr>
                <w:sz w:val="15"/>
              </w:rPr>
              <w:t>REL-005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Pre-prod gate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5"/>
              </w:rPr>
              <w:t>Automated tests + migration test + permission/integrity smoke + security scan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>
              <w:rPr>
                <w:sz w:val="15"/>
              </w:rPr>
              <w:t>REL-006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Prod gate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5"/>
              </w:rPr>
              <w:t>Approval/change record theo governance; observable deployment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>
              <w:rPr>
                <w:sz w:val="15"/>
              </w:rPr>
              <w:t>REL-007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Post-deploy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5"/>
              </w:rPr>
              <w:t>Health/smoke checks; monitor error/latency/integration/queue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>
              <w:rPr>
                <w:sz w:val="15"/>
              </w:rPr>
              <w:t>REL-008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Rollback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5"/>
              </w:rPr>
              <w:t>App rollback khi safe; DB changes ưu tiên backward-compatible/roll-forward</w:t>
            </w:r>
          </w:p>
        </w:tc>
      </w:tr>
    </w:tbl>
    <w:p>
      <w:pPr>
        <w:spacing w:after="20"/>
      </w:pPr>
    </w:p>
    <w:p>
      <w:pPr>
        <w:pStyle w:val="Heading1"/>
      </w:pPr>
      <w:r>
        <w:t>10. Vietnamese UX Language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152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872"/>
            <w:vAlign w:val="center"/>
          </w:tcPr>
          <w:p>
            <w:r>
              <w:rPr>
                <w:b/>
                <w:sz w:val="16"/>
              </w:rPr>
              <w:t>Lớp</w:t>
            </w:r>
          </w:p>
        </w:tc>
        <w:tc>
          <w:tcPr>
            <w:tcW w:type="dxa" w:w="4032"/>
            <w:vAlign w:val="center"/>
          </w:tcPr>
          <w:p>
            <w:r>
              <w:rPr>
                <w:b/>
                <w:sz w:val="16"/>
              </w:rPr>
              <w:t>Quy tắc</w:t>
            </w:r>
          </w:p>
        </w:tc>
        <w:tc>
          <w:tcPr>
            <w:tcW w:type="dxa" w:w="4464"/>
            <w:vAlign w:val="center"/>
          </w:tcPr>
          <w:p>
            <w:r>
              <w:rPr>
                <w:b/>
                <w:sz w:val="16"/>
              </w:rPr>
              <w:t>Acceptance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>
              <w:rPr>
                <w:sz w:val="15"/>
              </w:rPr>
              <w:t>LANG-001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5"/>
              </w:rPr>
              <w:t>Nhãn UI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5"/>
              </w:rPr>
              <w:t>Tiếng Việt nghiệp vụ chính thức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5"/>
              </w:rPr>
              <w:t>CP6.5 là nguồn chuẩn; không dùng code key làm label.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>
              <w:rPr>
                <w:sz w:val="15"/>
              </w:rPr>
              <w:t>LANG-002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5"/>
              </w:rPr>
              <w:t>Technical identifier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5"/>
              </w:rPr>
              <w:t>English/code-friendly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5"/>
              </w:rPr>
              <w:t>Table/field/API/module/enum có thể dùng English.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>
              <w:rPr>
                <w:sz w:val="15"/>
              </w:rPr>
              <w:t>LANG-003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5"/>
              </w:rPr>
              <w:t>Enum/status mapping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5"/>
              </w:rPr>
              <w:t>Code → Vietnamese UI Term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5"/>
              </w:rPr>
              <w:t>Ví dụ PARTIALLY_SETTLED → Đã thanh toán một phần.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>
              <w:rPr>
                <w:sz w:val="15"/>
              </w:rPr>
              <w:t>LANG-004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5"/>
              </w:rPr>
              <w:t>Logistics terms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5"/>
              </w:rPr>
              <w:t>Giữ English/song ngữ khi chuẩn ngành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5"/>
              </w:rPr>
              <w:t>Bill, Shipment, Debit Note, HAWB/MAWB/HBL/MBL/FCL/LCL...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>
              <w:rPr>
                <w:sz w:val="15"/>
              </w:rPr>
              <w:t>LANG-005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5"/>
              </w:rPr>
              <w:t>Error message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5"/>
              </w:rPr>
              <w:t>Stable error code + Vietnamese safe message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5"/>
              </w:rPr>
              <w:t>Không lộ stack/secret/internal implementation.</w:t>
            </w:r>
          </w:p>
        </w:tc>
      </w:tr>
    </w:tbl>
    <w:p>
      <w:pPr>
        <w:spacing w:after="20"/>
      </w:pPr>
    </w:p>
    <w:p>
      <w:pPr>
        <w:pStyle w:val="Heading1"/>
      </w:pPr>
      <w:r>
        <w:t>11. Security &amp; NFR Acceptance Gates</w:t>
      </w:r>
    </w:p>
    <w:p>
      <w:pPr>
        <w:pStyle w:val="ListBullet"/>
      </w:pPr>
      <w:r>
        <w:t>Không endpoint/worker nào được bypass tenant context và server-side authorization.</w:t>
      </w:r>
    </w:p>
    <w:p>
      <w:pPr>
        <w:pStyle w:val="ListBullet"/>
      </w:pPr>
      <w:r>
        <w:t>Không secret/credential/token được hard-code hoặc ghi log ở dạng có thể sử dụng lại.</w:t>
      </w:r>
    </w:p>
    <w:p>
      <w:pPr>
        <w:pStyle w:val="ListBullet"/>
      </w:pPr>
      <w:r>
        <w:t>Financial mutation quan trọng phải có audit/correlation phù hợp với TD4.</w:t>
      </w:r>
    </w:p>
    <w:p>
      <w:pPr>
        <w:pStyle w:val="ListBullet"/>
      </w:pPr>
      <w:r>
        <w:t>Retry integration/async phải idempotent; failure không được fabricates financial facts.</w:t>
      </w:r>
    </w:p>
    <w:p>
      <w:pPr>
        <w:pStyle w:val="ListBullet"/>
      </w:pPr>
      <w:r>
        <w:t>Deployment migration phải qua test; release phải có health/smoke verification.</w:t>
      </w:r>
    </w:p>
    <w:p>
      <w:pPr>
        <w:pStyle w:val="ListBullet"/>
      </w:pPr>
      <w:r>
        <w:t>Backup/restore và observability phải sẵn sàng trước production go-live.</w:t>
      </w:r>
    </w:p>
    <w:p>
      <w:pPr>
        <w:pStyle w:val="ListBullet"/>
      </w:pPr>
      <w:r>
        <w:t>UI phải dùng Vietnamese UX Term đã chuẩn hóa; technical enum/code không được leak thành nhãn giao diện.</w:t>
      </w:r>
    </w:p>
    <w:p>
      <w:pPr>
        <w:pStyle w:val="Heading1"/>
      </w:pPr>
      <w:r>
        <w:t>12. Decision Log TD5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584"/>
            <w:vAlign w:val="center"/>
          </w:tcPr>
          <w:p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2376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>
              <w:rPr>
                <w:b/>
                <w:sz w:val="16"/>
              </w:rPr>
              <w:t>Kết quả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>
              <w:rPr>
                <w:sz w:val="15"/>
              </w:rPr>
              <w:t>TD5-SEC-001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[ARCHITECTURE AGREED]</w:t>
            </w:r>
          </w:p>
        </w:tc>
        <w:tc>
          <w:tcPr>
            <w:tcW w:type="dxa" w:w="7560"/>
            <w:vAlign w:val="top"/>
          </w:tcPr>
          <w:p>
            <w:r>
              <w:rPr>
                <w:sz w:val="15"/>
              </w:rPr>
              <w:t>Identity dùng chuẩn OIDC/OAuth2-compatible/managed IdP direction; vendor cụ thể deferred.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>
              <w:rPr>
                <w:sz w:val="15"/>
              </w:rPr>
              <w:t>TD5-SEC-002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[ARCHITECTURE AGREED]</w:t>
            </w:r>
          </w:p>
        </w:tc>
        <w:tc>
          <w:tcPr>
            <w:tcW w:type="dxa" w:w="7560"/>
            <w:vAlign w:val="top"/>
          </w:tcPr>
          <w:p>
            <w:r>
              <w:rPr>
                <w:sz w:val="15"/>
              </w:rPr>
              <w:t>Authorization server-side theo User/Role × Action Permission × Data Scope; tenant isolation bắt buộc.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>
              <w:rPr>
                <w:sz w:val="15"/>
              </w:rPr>
              <w:t>TD5-SEC-003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[ARCHITECTURE AGREED]</w:t>
            </w:r>
          </w:p>
        </w:tc>
        <w:tc>
          <w:tcPr>
            <w:tcW w:type="dxa" w:w="7560"/>
            <w:vAlign w:val="top"/>
          </w:tcPr>
          <w:p>
            <w:r>
              <w:rPr>
                <w:sz w:val="15"/>
              </w:rPr>
              <w:t>Service identity, secrets và environment credentials tách biệt; least privilege/rotation.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>
              <w:rPr>
                <w:sz w:val="15"/>
              </w:rPr>
              <w:t>TD5-AUD-001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[ARCHITECTURE AGREED]</w:t>
            </w:r>
          </w:p>
        </w:tc>
        <w:tc>
          <w:tcPr>
            <w:tcW w:type="dxa" w:w="7560"/>
            <w:vAlign w:val="top"/>
          </w:tcPr>
          <w:p>
            <w:r>
              <w:rPr>
                <w:sz w:val="15"/>
              </w:rPr>
              <w:t>Audit append-oriented, correlation-enabled; financial/privileged/override/close actions có trace đầy đủ.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>
              <w:rPr>
                <w:sz w:val="15"/>
              </w:rPr>
              <w:t>TD5-NFR-001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[ARCHITECTURE AGREED]</w:t>
            </w:r>
          </w:p>
        </w:tc>
        <w:tc>
          <w:tcPr>
            <w:tcW w:type="dxa" w:w="7560"/>
            <w:vAlign w:val="top"/>
          </w:tcPr>
          <w:p>
            <w:r>
              <w:rPr>
                <w:sz w:val="15"/>
              </w:rPr>
              <w:t>Core financial consistency ưu tiên strong consistency; read model được eventual consistency có freshness marker.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>
              <w:rPr>
                <w:sz w:val="15"/>
              </w:rPr>
              <w:t>TD5-NFR-002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[ARCHITECTURE AGREED]</w:t>
            </w:r>
          </w:p>
        </w:tc>
        <w:tc>
          <w:tcPr>
            <w:tcW w:type="dxa" w:w="7560"/>
            <w:vAlign w:val="top"/>
          </w:tcPr>
          <w:p>
            <w:r>
              <w:rPr>
                <w:sz w:val="15"/>
              </w:rPr>
              <w:t>Backup/restore, DR rehearsal, observability và resilience là production baseline; exact SLA/RPO/RTO theo deployment tier.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>
              <w:rPr>
                <w:sz w:val="15"/>
              </w:rPr>
              <w:t>TD5-DEP-001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[ARCHITECTURE AGREED]</w:t>
            </w:r>
          </w:p>
        </w:tc>
        <w:tc>
          <w:tcPr>
            <w:tcW w:type="dxa" w:w="7560"/>
            <w:vAlign w:val="top"/>
          </w:tcPr>
          <w:p>
            <w:r>
              <w:rPr>
                <w:sz w:val="15"/>
              </w:rPr>
              <w:t>Deployment baseline tiếp tục Modular Monolith: stateless web/API + worker + transactional DB + optional read model/cache/queue.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>
              <w:rPr>
                <w:sz w:val="15"/>
              </w:rPr>
              <w:t>TD5-DEP-002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[ARCHITECTURE AGREED]</w:t>
            </w:r>
          </w:p>
        </w:tc>
        <w:tc>
          <w:tcPr>
            <w:tcW w:type="dxa" w:w="7560"/>
            <w:vAlign w:val="top"/>
          </w:tcPr>
          <w:p>
            <w:r>
              <w:rPr>
                <w:sz w:val="15"/>
              </w:rPr>
              <w:t>Environment separation Dev/Test/Staging/Prod; secrets/config/data handling tách biệt.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>
              <w:rPr>
                <w:sz w:val="15"/>
              </w:rPr>
              <w:t>TD5-REL-001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[ARCHITECTURE AGREED]</w:t>
            </w:r>
          </w:p>
        </w:tc>
        <w:tc>
          <w:tcPr>
            <w:tcW w:type="dxa" w:w="7560"/>
            <w:vAlign w:val="top"/>
          </w:tcPr>
          <w:p>
            <w:r>
              <w:rPr>
                <w:sz w:val="15"/>
              </w:rPr>
              <w:t>CI/CD có migration/security/integrity gates; không deploy trực tiếp bỏ qua validation.</w:t>
            </w:r>
          </w:p>
        </w:tc>
      </w:tr>
      <w:tr>
        <w:trPr>
          <w:cantSplit/>
        </w:trPr>
        <w:tc>
          <w:tcPr>
            <w:tcW w:type="dxa" w:w="1584"/>
            <w:vAlign w:val="top"/>
          </w:tcPr>
          <w:p>
            <w:r>
              <w:rPr>
                <w:sz w:val="15"/>
              </w:rPr>
              <w:t>TD5-LANG-001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5"/>
              </w:rPr>
              <w:t>[ARCHITECTURE AGREED]</w:t>
            </w:r>
          </w:p>
        </w:tc>
        <w:tc>
          <w:tcPr>
            <w:tcW w:type="dxa" w:w="7560"/>
            <w:vAlign w:val="top"/>
          </w:tcPr>
          <w:p>
            <w:r>
              <w:rPr>
                <w:sz w:val="15"/>
              </w:rPr>
              <w:t>Vietnamese UX Language Rule CP6.5 là non-functional/release acceptance requirement.</w:t>
            </w:r>
          </w:p>
        </w:tc>
      </w:tr>
    </w:tbl>
    <w:p>
      <w:pPr>
        <w:spacing w:after="20"/>
      </w:pPr>
    </w:p>
    <w:p>
      <w:pPr>
        <w:pStyle w:val="Heading1"/>
      </w:pPr>
      <w:r>
        <w:t>13. Carry Forward sang TD6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880"/>
            <w:vAlign w:val="center"/>
          </w:tcPr>
          <w:p>
            <w:r>
              <w:rPr>
                <w:b/>
                <w:sz w:val="16"/>
              </w:rPr>
              <w:t>Hạng mục</w:t>
            </w:r>
          </w:p>
        </w:tc>
        <w:tc>
          <w:tcPr>
            <w:tcW w:type="dxa" w:w="3024"/>
            <w:vAlign w:val="center"/>
          </w:tcPr>
          <w:p>
            <w:r>
              <w:rPr>
                <w:b/>
                <w:sz w:val="16"/>
              </w:rPr>
              <w:t>Điểm chốt</w:t>
            </w:r>
          </w:p>
        </w:tc>
        <w:tc>
          <w:tcPr>
            <w:tcW w:type="dxa" w:w="5616"/>
            <w:vAlign w:val="center"/>
          </w:tcPr>
          <w:p>
            <w:r>
              <w:rPr>
                <w:b/>
                <w:sz w:val="16"/>
              </w:rPr>
              <w:t>Nguyên tắc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5"/>
              </w:rPr>
              <w:t>Framework/runtime/language version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TD6/Implementation planning</w:t>
            </w:r>
          </w:p>
        </w:tc>
        <w:tc>
          <w:tcPr>
            <w:tcW w:type="dxa" w:w="5616"/>
            <w:vAlign w:val="top"/>
          </w:tcPr>
          <w:p>
            <w:r>
              <w:rPr>
                <w:sz w:val="15"/>
              </w:rPr>
              <w:t>Chọn dựa team skill, hosting, maintainability; không làm thay đổi business architecture.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5"/>
              </w:rPr>
              <w:t>Database engine/version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TD6/Implementation planning</w:t>
            </w:r>
          </w:p>
        </w:tc>
        <w:tc>
          <w:tcPr>
            <w:tcW w:type="dxa" w:w="5616"/>
            <w:vAlign w:val="top"/>
          </w:tcPr>
          <w:p>
            <w:r>
              <w:rPr>
                <w:sz w:val="15"/>
              </w:rPr>
              <w:t>Phải đáp ứng TD1/TD4 constraints, transaction/concurrency/backup requirements.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5"/>
              </w:rPr>
              <w:t>Identity provider vendor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TD6/Implementation planning</w:t>
            </w:r>
          </w:p>
        </w:tc>
        <w:tc>
          <w:tcPr>
            <w:tcW w:type="dxa" w:w="5616"/>
            <w:vAlign w:val="top"/>
          </w:tcPr>
          <w:p>
            <w:r>
              <w:rPr>
                <w:sz w:val="15"/>
              </w:rPr>
              <w:t>Phải hỗ trợ auth standard, MFA/enterprise options khi cần.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5"/>
              </w:rPr>
              <w:t>Cloud/hosting provider &amp; region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TD6/Implementation planning</w:t>
            </w:r>
          </w:p>
        </w:tc>
        <w:tc>
          <w:tcPr>
            <w:tcW w:type="dxa" w:w="5616"/>
            <w:vAlign w:val="top"/>
          </w:tcPr>
          <w:p>
            <w:r>
              <w:rPr>
                <w:sz w:val="15"/>
              </w:rPr>
              <w:t>Cân nhắc Vietnam/customer/legal/latency/cost/ops.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5"/>
              </w:rPr>
              <w:t>Exact SLA/SLO, RPO/RTO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TD6/Commercial/Operations</w:t>
            </w:r>
          </w:p>
        </w:tc>
        <w:tc>
          <w:tcPr>
            <w:tcW w:type="dxa" w:w="5616"/>
            <w:vAlign w:val="top"/>
          </w:tcPr>
          <w:p>
            <w:r>
              <w:rPr>
                <w:sz w:val="15"/>
              </w:rPr>
              <w:t>Cần workload, tier và ngân sách; không tự áp số generic.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5"/>
              </w:rPr>
              <w:t>Sizing/capacity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TD6/Implementation planning</w:t>
            </w:r>
          </w:p>
        </w:tc>
        <w:tc>
          <w:tcPr>
            <w:tcW w:type="dxa" w:w="5616"/>
            <w:vAlign w:val="top"/>
          </w:tcPr>
          <w:p>
            <w:r>
              <w:rPr>
                <w:sz w:val="15"/>
              </w:rPr>
              <w:t>Dựa user/tenant/data/API/integration workload.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>
              <w:rPr>
                <w:sz w:val="15"/>
              </w:rPr>
              <w:t>Security testing cadence/vendor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5"/>
              </w:rPr>
              <w:t>TD6/Operations</w:t>
            </w:r>
          </w:p>
        </w:tc>
        <w:tc>
          <w:tcPr>
            <w:tcW w:type="dxa" w:w="5616"/>
            <w:vAlign w:val="top"/>
          </w:tcPr>
          <w:p>
            <w:r>
              <w:rPr>
                <w:sz w:val="15"/>
              </w:rPr>
              <w:t>Đưa vào backlog/release governance.</w:t>
            </w:r>
          </w:p>
        </w:tc>
      </w:tr>
    </w:tbl>
    <w:p>
      <w:pPr>
        <w:spacing w:after="20"/>
      </w:pPr>
    </w:p>
    <w:p>
      <w:pPr>
        <w:pStyle w:val="Heading1"/>
      </w:pPr>
      <w:r>
        <w:t>14. Completion</w:t>
      </w:r>
    </w:p>
    <w:p>
      <w:r>
        <w:t>TD5 — Security, Audit, NFR &amp; Deployment Architecture: 100% — COMPLETED / PACKAGED. Không phát sinh [DECISION REQUIRED] ở cấp kiến trúc TD5. Các con số SLA/SLO/RPO/RTO và lựa chọn vendor/framework/database/cloud được cố ý giữ ở carry-forward vì cần dữ liệu triển khai và ngân sách, không phải quyết định business architecture.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