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BÀN GIAO CHÍNH THỨC (COMMERCIAL RELEASE SIGN-OFF): RATE-UI-05 → RATE-UI-07 (v2.0)</w:t>
      </w:r>
    </w:p>
    <w:p>
      <w:r>
        <w:t>Ngày bàn giao: 17/10/2026 · Baseline kỹ thuật chốt: commit 5ec6653 · Commit đóng GAP DATA-01 (Seed danh mục chuẩn): commit 89f48e1 · Trạng thái nghiệm thu: 100/100 Commercial-Ready</w:t>
      </w:r>
    </w:p>
    <w:p>
      <w:pPr>
        <w:pStyle w:val="Heading1"/>
      </w:pPr>
      <w:r>
        <w:t>1. Kết quả thực hiện 3 công việc bàn giao cuối cùng của PO</w:t>
      </w:r>
    </w:p>
    <w:p>
      <w:pPr>
        <w:pStyle w:val="Heading2"/>
      </w:pPr>
      <w:r>
        <w:t>1.1 Công việc 1 — Seed Dữ liệu Khoản mục kinh tế ban đầu (Đóng GAP DATA-01)</w:t>
      </w:r>
    </w:p>
    <w:p>
      <w:pPr>
        <w:pStyle w:val="ListBullet"/>
      </w:pPr>
      <w:r>
        <w:t>Đã bổ sung seeder idempotent EconomicChargeCatalogSeeder (trong src/LCMS.Application/EconomicCharges/EconomicChargeCommands.cs), tự động chạy tại MigrateDatabaseAsync (src/LCMS.Api/Program.cs) cho tenant ops và demo, đồng thời tích hợp vào DemoDataSeeder.EnsureDefaultCatalogAsync.</w:t>
      </w:r>
    </w:p>
    <w:p>
      <w:pPr>
        <w:pStyle w:val="ListBullet"/>
      </w:pPr>
      <w:r>
        <w:t>Đã cung cấp script SQL idempotent tại infra/sql/seed_economic_charge_types_ops_demo.sql (an toàn khi chạy nhiều lần trên PostgreSQL).</w:t>
      </w:r>
    </w:p>
    <w:p>
      <w:pPr>
        <w:pStyle w:val="ListBullet"/>
      </w:pPr>
      <w:r>
        <w:t>Đã bổ sung kiểm thử tự động Data01_EconomicChargeCatalogSeeder_SeedsOpsAndDemoIdempotently trong tests/LCMS.Api.Tests/RateUi0507UatTests.cs (21/21 PASS).</w:t>
      </w:r>
    </w:p>
    <w:p>
      <w:pPr>
        <w:pStyle w:val="ListBullet"/>
      </w:pPr>
      <w:r>
        <w:t>Đã thực thi và xác nhận 6/6 khoản mục chuẩn đều ở trạng thái IsActive = true trên cả local, cms-sg-01 (194.233.89.26) và cms-lss-01 (169.58.47.30):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>
              <w:t>Mã khoản giá (Code)</w:t>
            </w:r>
          </w:p>
        </w:tc>
        <w:tc>
          <w:tcPr>
            <w:tcW w:type="dxa" w:w="3402"/>
          </w:tcPr>
          <w:p>
            <w:r>
              <w:t>Tên hiển thị tiếng Việt (Name)</w:t>
            </w:r>
          </w:p>
        </w:tc>
        <w:tc>
          <w:tcPr>
            <w:tcW w:type="dxa" w:w="1871"/>
          </w:tcPr>
          <w:p>
            <w:r>
              <w:t>Trạng thái (IsActive)</w:t>
            </w:r>
          </w:p>
        </w:tc>
        <w:tc>
          <w:tcPr>
            <w:tcW w:type="dxa" w:w="2268"/>
          </w:tcPr>
          <w:p>
            <w:r>
              <w:t>Môi trường đã xác nhận</w:t>
            </w:r>
          </w:p>
        </w:tc>
      </w:tr>
      <w:tr>
        <w:tc>
          <w:tcPr>
            <w:tcW w:type="dxa" w:w="1814"/>
          </w:tcPr>
          <w:p>
            <w:r>
              <w:t>FREIGHT</w:t>
            </w:r>
          </w:p>
        </w:tc>
        <w:tc>
          <w:tcPr>
            <w:tcW w:type="dxa" w:w="3402"/>
          </w:tcPr>
          <w:p>
            <w:r>
              <w:t>Cước vận tải chính (Base freight)</w:t>
            </w:r>
          </w:p>
        </w:tc>
        <w:tc>
          <w:tcPr>
            <w:tcW w:type="dxa" w:w="1871"/>
          </w:tcPr>
          <w:p>
            <w:r>
              <w:t>true (Đang hoạt động)</w:t>
            </w:r>
          </w:p>
        </w:tc>
        <w:tc>
          <w:tcPr>
            <w:tcW w:type="dxa" w:w="2268"/>
          </w:tcPr>
          <w:p>
            <w:r>
              <w:t>Local, cms-sg-01, cms-lss-01</w:t>
            </w:r>
          </w:p>
        </w:tc>
      </w:tr>
      <w:tr>
        <w:tc>
          <w:tcPr>
            <w:tcW w:type="dxa" w:w="1814"/>
          </w:tcPr>
          <w:p>
            <w:r>
              <w:t>PICKUP</w:t>
            </w:r>
          </w:p>
        </w:tc>
        <w:tc>
          <w:tcPr>
            <w:tcW w:type="dxa" w:w="3402"/>
          </w:tcPr>
          <w:p>
            <w:r>
              <w:t>Phí lấy hàng tận nơi</w:t>
            </w:r>
          </w:p>
        </w:tc>
        <w:tc>
          <w:tcPr>
            <w:tcW w:type="dxa" w:w="1871"/>
          </w:tcPr>
          <w:p>
            <w:r>
              <w:t>true (Đang hoạt động)</w:t>
            </w:r>
          </w:p>
        </w:tc>
        <w:tc>
          <w:tcPr>
            <w:tcW w:type="dxa" w:w="2268"/>
          </w:tcPr>
          <w:p>
            <w:r>
              <w:t>Local, cms-sg-01, cms-lss-01</w:t>
            </w:r>
          </w:p>
        </w:tc>
      </w:tr>
      <w:tr>
        <w:tc>
          <w:tcPr>
            <w:tcW w:type="dxa" w:w="1814"/>
          </w:tcPr>
          <w:p>
            <w:r>
              <w:t>DELIVERY</w:t>
            </w:r>
          </w:p>
        </w:tc>
        <w:tc>
          <w:tcPr>
            <w:tcW w:type="dxa" w:w="3402"/>
          </w:tcPr>
          <w:p>
            <w:r>
              <w:t>Phí giao hàng</w:t>
            </w:r>
          </w:p>
        </w:tc>
        <w:tc>
          <w:tcPr>
            <w:tcW w:type="dxa" w:w="1871"/>
          </w:tcPr>
          <w:p>
            <w:r>
              <w:t>true (Đang hoạt động)</w:t>
            </w:r>
          </w:p>
        </w:tc>
        <w:tc>
          <w:tcPr>
            <w:tcW w:type="dxa" w:w="2268"/>
          </w:tcPr>
          <w:p>
            <w:r>
              <w:t>Local, cms-sg-01, cms-lss-01</w:t>
            </w:r>
          </w:p>
        </w:tc>
      </w:tr>
      <w:tr>
        <w:tc>
          <w:tcPr>
            <w:tcW w:type="dxa" w:w="1814"/>
          </w:tcPr>
          <w:p>
            <w:r>
              <w:t>REMOTE</w:t>
            </w:r>
          </w:p>
        </w:tc>
        <w:tc>
          <w:tcPr>
            <w:tcW w:type="dxa" w:w="3402"/>
          </w:tcPr>
          <w:p>
            <w:r>
              <w:t>Phụ phí vùng xa / hải đảo</w:t>
            </w:r>
          </w:p>
        </w:tc>
        <w:tc>
          <w:tcPr>
            <w:tcW w:type="dxa" w:w="1871"/>
          </w:tcPr>
          <w:p>
            <w:r>
              <w:t>true (Đang hoạt động)</w:t>
            </w:r>
          </w:p>
        </w:tc>
        <w:tc>
          <w:tcPr>
            <w:tcW w:type="dxa" w:w="2268"/>
          </w:tcPr>
          <w:p>
            <w:r>
              <w:t>Local, cms-sg-01, cms-lss-01</w:t>
            </w:r>
          </w:p>
        </w:tc>
      </w:tr>
      <w:tr>
        <w:tc>
          <w:tcPr>
            <w:tcW w:type="dxa" w:w="1814"/>
          </w:tcPr>
          <w:p>
            <w:r>
              <w:t>HANDLING</w:t>
            </w:r>
          </w:p>
        </w:tc>
        <w:tc>
          <w:tcPr>
            <w:tcW w:type="dxa" w:w="3402"/>
          </w:tcPr>
          <w:p>
            <w:r>
              <w:t>Phí bốc xếp / nâng hạ</w:t>
            </w:r>
          </w:p>
        </w:tc>
        <w:tc>
          <w:tcPr>
            <w:tcW w:type="dxa" w:w="1871"/>
          </w:tcPr>
          <w:p>
            <w:r>
              <w:t>true (Đang hoạt động)</w:t>
            </w:r>
          </w:p>
        </w:tc>
        <w:tc>
          <w:tcPr>
            <w:tcW w:type="dxa" w:w="2268"/>
          </w:tcPr>
          <w:p>
            <w:r>
              <w:t>Local, cms-sg-01, cms-lss-01</w:t>
            </w:r>
          </w:p>
        </w:tc>
      </w:tr>
      <w:tr>
        <w:tc>
          <w:tcPr>
            <w:tcW w:type="dxa" w:w="1814"/>
          </w:tcPr>
          <w:p>
            <w:r>
              <w:t>FUEL</w:t>
            </w:r>
          </w:p>
        </w:tc>
        <w:tc>
          <w:tcPr>
            <w:tcW w:type="dxa" w:w="3402"/>
          </w:tcPr>
          <w:p>
            <w:r>
              <w:t>Phụ phí nhiên liệu</w:t>
            </w:r>
          </w:p>
        </w:tc>
        <w:tc>
          <w:tcPr>
            <w:tcW w:type="dxa" w:w="1871"/>
          </w:tcPr>
          <w:p>
            <w:r>
              <w:t>true (Đang hoạt động)</w:t>
            </w:r>
          </w:p>
        </w:tc>
        <w:tc>
          <w:tcPr>
            <w:tcW w:type="dxa" w:w="2268"/>
          </w:tcPr>
          <w:p>
            <w:r>
              <w:t>Local, cms-sg-01, cms-lss-01</w:t>
            </w:r>
          </w:p>
        </w:tc>
      </w:tr>
    </w:tbl>
    <w:p>
      <w:pPr>
        <w:pStyle w:val="Heading2"/>
      </w:pPr>
      <w:r>
        <w:t>1.2 Công việc 2 — Cập nhật tài liệu UAT Matrix chính thức (Baseline 5ec6653)</w:t>
      </w:r>
    </w:p>
    <w:p>
      <w:pPr>
        <w:pStyle w:val="ListBullet"/>
      </w:pPr>
      <w:r>
        <w:t>Đã cập nhật trực tiếp file ma trận chính thức LCMS_UAT_RATE_UI_05_07_DEV_UAT_Matrix_v1.0.xlsx và bản _RESULT.xlsx.</w:t>
      </w:r>
    </w:p>
    <w:p>
      <w:pPr>
        <w:pStyle w:val="ListBullet"/>
      </w:pPr>
      <w:r>
        <w:t>Ghi nhận commit 5ec6653 là bản baseline kỹ thuật chốt cho gói RATE-UI-05..07 (và commit 89f48e1 đóng GAP DATA-01).</w:t>
      </w:r>
    </w:p>
    <w:p>
      <w:pPr>
        <w:pStyle w:val="ListBullet"/>
      </w:pPr>
      <w:r>
        <w:t>Toàn bộ 20/20 kịch bản UAT (UAT-01 → UAT-20) đạt trạng thái PASS; toàn bộ 11/11 hạng mục DEV Checklist (UI-01 → DOC-01, bao gồm DATA-01) đạt trạng thái Hoàn thành (v2.0).</w:t>
      </w:r>
    </w:p>
    <w:p>
      <w:pPr>
        <w:pStyle w:val="Heading2"/>
      </w:pPr>
      <w:r>
        <w:t>1.3 Công việc 3 — Kiểm tra xác nhận triển khai trên VPS cms-sg-01 (194.233.89.26)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t>Hạng mục kiểm tra trên cms-sg-01</w:t>
            </w:r>
          </w:p>
        </w:tc>
        <w:tc>
          <w:tcPr>
            <w:tcW w:type="dxa" w:w="1984"/>
          </w:tcPr>
          <w:p>
            <w:r>
              <w:t>Kết quả thực tế</w:t>
            </w:r>
          </w:p>
        </w:tc>
        <w:tc>
          <w:tcPr>
            <w:tcW w:type="dxa" w:w="4819"/>
          </w:tcPr>
          <w:p>
            <w:r>
              <w:t>Bằng chứng</w:t>
            </w:r>
          </w:p>
        </w:tc>
      </w:tr>
      <w:tr>
        <w:tc>
          <w:tcPr>
            <w:tcW w:type="dxa" w:w="2551"/>
          </w:tcPr>
          <w:p>
            <w:r>
              <w:t>Trạng thái containers (docker ps)</w:t>
            </w:r>
          </w:p>
        </w:tc>
        <w:tc>
          <w:tcPr>
            <w:tcW w:type="dxa" w:w="1984"/>
          </w:tcPr>
          <w:p>
            <w:r>
              <w:t>5/5 containers Up &amp; Healthy</w:t>
            </w:r>
          </w:p>
        </w:tc>
        <w:tc>
          <w:tcPr>
            <w:tcW w:type="dxa" w:w="4819"/>
          </w:tcPr>
          <w:p>
            <w:r>
              <w:t>cms-proxy (nginx:1.27-alpine), cms-api (infra-api), cms-web, cms-db (healthy), cms-redis đều Up.</w:t>
            </w:r>
          </w:p>
        </w:tc>
      </w:tr>
      <w:tr>
        <w:tc>
          <w:tcPr>
            <w:tcW w:type="dxa" w:w="2551"/>
          </w:tcPr>
          <w:p>
            <w:r>
              <w:t>Health &amp; Readiness endpoints</w:t>
            </w:r>
          </w:p>
        </w:tc>
        <w:tc>
          <w:tcPr>
            <w:tcW w:type="dxa" w:w="1984"/>
          </w:tcPr>
          <w:p>
            <w:r>
              <w:t>200 OK</w:t>
            </w:r>
          </w:p>
        </w:tc>
        <w:tc>
          <w:tcPr>
            <w:tcW w:type="dxa" w:w="4819"/>
          </w:tcPr>
          <w:p>
            <w:r>
              <w:t>GET /health -&gt; {"status":"ok","service":"cms-api"}; GET /ready -&gt; {"status":"ready","database":"ok"}.</w:t>
            </w:r>
          </w:p>
        </w:tc>
      </w:tr>
      <w:tr>
        <w:tc>
          <w:tcPr>
            <w:tcW w:type="dxa" w:w="2551"/>
          </w:tcPr>
          <w:p>
            <w:r>
              <w:t>Database migration &amp; Seed DATA-01 trên cms-db</w:t>
            </w:r>
          </w:p>
        </w:tc>
        <w:tc>
          <w:tcPr>
            <w:tcW w:type="dxa" w:w="1984"/>
          </w:tcPr>
          <w:p>
            <w:r>
              <w:t>6/6 khoản mục chuẩn IsActive = true</w:t>
            </w:r>
          </w:p>
        </w:tc>
        <w:tc>
          <w:tcPr>
            <w:tcW w:type="dxa" w:w="4819"/>
          </w:tcPr>
          <w:p>
            <w:r>
              <w:t>SELECT từ bảng economic_charge_types trên cms-db xác nhận đủ DELIVERY, FREIGHT, FUEL, HANDLING, PICKUP, REMOTE (is_active = t).</w:t>
            </w:r>
          </w:p>
        </w:tc>
      </w:tr>
      <w:tr>
        <w:tc>
          <w:tcPr>
            <w:tcW w:type="dxa" w:w="2551"/>
          </w:tcPr>
          <w:p>
            <w:r>
              <w:t>Container runtime logs (cms-api &amp; cms-web)</w:t>
            </w:r>
          </w:p>
        </w:tc>
        <w:tc>
          <w:tcPr>
            <w:tcW w:type="dxa" w:w="1984"/>
          </w:tcPr>
          <w:p>
            <w:r>
              <w:t>0 Error / 0 Fatal trên cms-api</w:t>
            </w:r>
          </w:p>
        </w:tc>
        <w:tc>
          <w:tcPr>
            <w:tcW w:type="dxa" w:w="4819"/>
          </w:tcPr>
          <w:p>
            <w:r>
              <w:t>Log khởi động: 'No migrations were applied. The database is already up to date.' Outbox worker và API xử lý bình thường.</w:t>
            </w:r>
          </w:p>
        </w:tc>
      </w:tr>
    </w:tbl>
    <w:p>
      <w:pPr>
        <w:pStyle w:val="Heading1"/>
      </w:pPr>
      <w:r>
        <w:t>2. Tổng hợp 11/11 hạng mục DEV Checklist (Sau khi đóng GAP DATA-01)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>
              <w:t>ID</w:t>
            </w:r>
          </w:p>
        </w:tc>
        <w:tc>
          <w:tcPr>
            <w:tcW w:type="dxa" w:w="2551"/>
          </w:tcPr>
          <w:p>
            <w:r>
              <w:t>Hạng mục</w:t>
            </w:r>
          </w:p>
        </w:tc>
        <w:tc>
          <w:tcPr>
            <w:tcW w:type="dxa" w:w="1701"/>
          </w:tcPr>
          <w:p>
            <w:r>
              <w:t>Trạng thái</w:t>
            </w:r>
          </w:p>
        </w:tc>
        <w:tc>
          <w:tcPr>
            <w:tcW w:type="dxa" w:w="4082"/>
          </w:tcPr>
          <w:p>
            <w:r>
              <w:t>Bằng chứng nghiệm thu v2.0</w:t>
            </w:r>
          </w:p>
        </w:tc>
      </w:tr>
      <w:tr>
        <w:tc>
          <w:tcPr>
            <w:tcW w:type="dxa" w:w="1020"/>
          </w:tcPr>
          <w:p>
            <w:r>
              <w:t>UI-01</w:t>
            </w:r>
          </w:p>
        </w:tc>
        <w:tc>
          <w:tcPr>
            <w:tcW w:type="dxa" w:w="2551"/>
          </w:tcPr>
          <w:p>
            <w:r>
              <w:t>Ẩn loại giá ở cấp rule, basic và advanced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Đã bỏ ở Basic, Advanced và Mobile (rates.tsx).</w:t>
            </w:r>
          </w:p>
        </w:tc>
      </w:tr>
      <w:tr>
        <w:tc>
          <w:tcPr>
            <w:tcW w:type="dxa" w:w="1020"/>
          </w:tcPr>
          <w:p>
            <w:r>
              <w:t>API-01</w:t>
            </w:r>
          </w:p>
        </w:tc>
        <w:tc>
          <w:tcPr>
            <w:tcW w:type="dxa" w:w="2551"/>
          </w:tcPr>
          <w:p>
            <w:r>
              <w:t>Validate chiều giá rule và header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422 party_type_conflict trên mọi đường ghi; luôn lưu PartyTypeCode = null.</w:t>
            </w:r>
          </w:p>
        </w:tc>
      </w:tr>
      <w:tr>
        <w:tc>
          <w:tcPr>
            <w:tcW w:type="dxa" w:w="1020"/>
          </w:tcPr>
          <w:p>
            <w:r>
              <w:t>UI-02</w:t>
            </w:r>
          </w:p>
        </w:tc>
        <w:tc>
          <w:tcPr>
            <w:tcW w:type="dxa" w:w="2551"/>
          </w:tcPr>
          <w:p>
            <w:r>
              <w:t>Disable/reset nấc trọng lượng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Khóa và xóa Từ–Đến kèm thông báo trên cả Web &amp; Mobile.</w:t>
            </w:r>
          </w:p>
        </w:tc>
      </w:tr>
      <w:tr>
        <w:tc>
          <w:tcPr>
            <w:tcW w:type="dxa" w:w="1020"/>
          </w:tcPr>
          <w:p>
            <w:r>
              <w:t>API-02</w:t>
            </w:r>
          </w:p>
        </w:tc>
        <w:tc>
          <w:tcPr>
            <w:tcW w:type="dxa" w:w="2551"/>
          </w:tcPr>
          <w:p>
            <w:r>
              <w:t>Validate bộ ba weight basis/min/max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WeightBand.DeclarationError trên Declare, AddPricingRule, Import, Publish.</w:t>
            </w:r>
          </w:p>
        </w:tc>
      </w:tr>
      <w:tr>
        <w:tc>
          <w:tcPr>
            <w:tcW w:type="dxa" w:w="1020"/>
          </w:tcPr>
          <w:p>
            <w:r>
              <w:t>UI-03</w:t>
            </w:r>
          </w:p>
        </w:tc>
        <w:tc>
          <w:tcPr>
            <w:tcW w:type="dxa" w:w="2551"/>
          </w:tcPr>
          <w:p>
            <w:r>
              <w:t>Ẩn Nhóm cạnh tranh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Chọn Khoản giá từ master trên Basic, Advanced, Mobile; có nút Mở Khoản mục kinh tế.</w:t>
            </w:r>
          </w:p>
        </w:tc>
      </w:tr>
      <w:tr>
        <w:tc>
          <w:tcPr>
            <w:tcW w:type="dxa" w:w="1020"/>
          </w:tcPr>
          <w:p>
            <w:r>
              <w:t>DATA-01</w:t>
            </w:r>
          </w:p>
        </w:tc>
        <w:tc>
          <w:tcPr>
            <w:tcW w:type="dxa" w:w="2551"/>
          </w:tcPr>
          <w:p>
            <w:r>
              <w:t>Xác minh danh mục khoản giá và mapping</w:t>
            </w:r>
          </w:p>
        </w:tc>
        <w:tc>
          <w:tcPr>
            <w:tcW w:type="dxa" w:w="1701"/>
          </w:tcPr>
          <w:p>
            <w:r>
              <w:t>Hoàn thành (Đã đóng GAP)</w:t>
            </w:r>
          </w:p>
        </w:tc>
        <w:tc>
          <w:tcPr>
            <w:tcW w:type="dxa" w:w="4082"/>
          </w:tcPr>
          <w:p>
            <w:r>
              <w:t>EconomicChargeCatalogSeeder + SQL script seed 6 khoản mục chuẩn (IsActive=true) cho ops &amp; demo.</w:t>
            </w:r>
          </w:p>
        </w:tc>
      </w:tr>
      <w:tr>
        <w:tc>
          <w:tcPr>
            <w:tcW w:type="dxa" w:w="1020"/>
          </w:tcPr>
          <w:p>
            <w:r>
              <w:t>ENGINE-01</w:t>
            </w:r>
          </w:p>
        </w:tc>
        <w:tc>
          <w:tcPr>
            <w:tcW w:type="dxa" w:w="2551"/>
          </w:tcPr>
          <w:p>
            <w:r>
              <w:t>Derive charge_code, chống cộng trùng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Suy ra từ master cho cả Basic &amp; Advanced (xóa ReferenceCharge.Freight).</w:t>
            </w:r>
          </w:p>
        </w:tc>
      </w:tr>
      <w:tr>
        <w:tc>
          <w:tcPr>
            <w:tcW w:type="dxa" w:w="1020"/>
          </w:tcPr>
          <w:p>
            <w:r>
              <w:t>ENGINE-02</w:t>
            </w:r>
          </w:p>
        </w:tc>
        <w:tc>
          <w:tcPr>
            <w:tcW w:type="dxa" w:w="2551"/>
          </w:tcPr>
          <w:p>
            <w:r>
              <w:t>Không dùng tên/mã phân loại phụ phí cho version mới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Phiên bản explicit chỉ dùng lineRole; UAT-18 PASS.</w:t>
            </w:r>
          </w:p>
        </w:tc>
      </w:tr>
      <w:tr>
        <w:tc>
          <w:tcPr>
            <w:tcW w:type="dxa" w:w="1020"/>
          </w:tcPr>
          <w:p>
            <w:r>
              <w:t>MIG-01</w:t>
            </w:r>
          </w:p>
        </w:tc>
        <w:tc>
          <w:tcPr>
            <w:tcW w:type="dxa" w:w="2551"/>
          </w:tcPr>
          <w:p>
            <w:r>
              <w:t>Dry-run và rollback, không sửa published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Không đổi schema; dữ liệu lịch sử bất biến; rollback bằng git revert.</w:t>
            </w:r>
          </w:p>
        </w:tc>
      </w:tr>
      <w:tr>
        <w:tc>
          <w:tcPr>
            <w:tcW w:type="dxa" w:w="1020"/>
          </w:tcPr>
          <w:p>
            <w:r>
              <w:t>QA-01</w:t>
            </w:r>
          </w:p>
        </w:tc>
        <w:tc>
          <w:tcPr>
            <w:tcW w:type="dxa" w:w="2551"/>
          </w:tcPr>
          <w:p>
            <w:r>
              <w:t>20 UAT + regression BUY/SELL/Leg/advanced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21/21 RateUi0507UatTests, 415/415 dotnet test, 22/22 vitest, 45/45 mobile jest.</w:t>
            </w:r>
          </w:p>
        </w:tc>
      </w:tr>
      <w:tr>
        <w:tc>
          <w:tcPr>
            <w:tcW w:type="dxa" w:w="1020"/>
          </w:tcPr>
          <w:p>
            <w:r>
              <w:t>DOC-01</w:t>
            </w:r>
          </w:p>
        </w:tc>
        <w:tc>
          <w:tcPr>
            <w:tcW w:type="dxa" w:w="2551"/>
          </w:tcPr>
          <w:p>
            <w:r>
              <w:t>PR, API contract, ảnh before/after, test logs</w:t>
            </w:r>
          </w:p>
        </w:tc>
        <w:tc>
          <w:tcPr>
            <w:tcW w:type="dxa" w:w="1701"/>
          </w:tcPr>
          <w:p>
            <w:r>
              <w:t>Hoàn thành (v2.0)</w:t>
            </w:r>
          </w:p>
        </w:tc>
        <w:tc>
          <w:tcPr>
            <w:tcW w:type="dxa" w:w="4082"/>
          </w:tcPr>
          <w:p>
            <w:r>
              <w:t>Baseline 5ec6653 + Seed 89f48e1, ảnh 1920px/768px/375px, UAT Matrix chính thức đã điền.</w:t>
            </w:r>
          </w:p>
        </w:tc>
      </w:tr>
    </w:tbl>
    <w:p>
      <w:pPr>
        <w:pStyle w:val="Heading1"/>
      </w:pPr>
      <w:r>
        <w:t>3. Đề xuất ký biên bản bàn giao chính thức (Commercial Release Sign-off)</w:t>
      </w:r>
    </w:p>
    <w:p>
      <w:r>
        <w:t>Toàn bộ yêu cầu kỹ thuật (Baseline commit 5ec6653) và dữ liệu danh mục Khoản mục kinh tế ban đầu (commit 89f48e1) đã hoàn tất 100% và hoạt động ổn định trên môi trường production cms-sg-01. Kính trình PO ký biên bản bàn giao chính thức (Commercial Release Sign-off).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