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F172A"/>
          <w:sz w:val="38"/>
        </w:rPr>
        <w:t>BÁO CÁO KỸ THUẬT: KÝ NHẬN BÀN GIAO ĐIỆN TỬ (e-PoD)</w:t>
        <w:br/>
        <w:t>PHÂN HỆ MOBILE LCMS (EXPO SDK 57 / REACT 19)</w:t>
      </w:r>
    </w:p>
    <w:p>
      <w:pPr>
        <w:spacing w:after="280"/>
        <w:jc w:val="center"/>
      </w:pPr>
      <w:r>
        <w:rPr>
          <w:rFonts w:ascii="Arial" w:hAnsi="Arial"/>
          <w:b/>
          <w:color w:val="2563EB"/>
          <w:sz w:val="23"/>
        </w:rPr>
        <w:t>DIGITAL SIGNATURE CANVAS • GEOSTAMP &amp; TIMESTAMP • SHA-256 HASH • ZERO-BACKEND-CHANGE ADAPTER</w:t>
      </w:r>
    </w:p>
    <w:tbl>
      <w:tblPr>
        <w:tblW w:type="auto" w:w="0"/>
        <w:jc w:val="center"/>
        <w:tblLook w:firstColumn="1" w:firstRow="1" w:lastColumn="0" w:lastRow="0" w:noHBand="0" w:noVBand="1" w:val="04A0"/>
      </w:tblPr>
      <w:tblGrid>
        <w:gridCol w:w="4968"/>
        <w:gridCol w:w="4968"/>
      </w:tblGrid>
      <w:tr>
        <w:tc>
          <w:tcPr>
            <w:tcW w:type="dxa" w:w="3168"/>
            <w:shd w:fill="F1F5F9"/>
          </w:tcPr>
          <w:p>
            <w:r>
              <w:rPr>
                <w:rFonts w:ascii="Arial" w:hAnsi="Arial"/>
                <w:b/>
                <w:sz w:val="18"/>
              </w:rPr>
              <w:t>Tính năng phát triển:</w:t>
            </w:r>
          </w:p>
        </w:tc>
        <w:tc>
          <w:tcPr>
            <w:tcW w:type="dxa" w:w="6624"/>
            <w:shd w:fill="F8FAFC"/>
          </w:tcPr>
          <w:p>
            <w:r>
              <w:rPr>
                <w:rFonts w:ascii="Arial" w:hAnsi="Arial"/>
                <w:sz w:val="18"/>
              </w:rPr>
              <w:t>Ký nhận Bàn giao Hàng hóa Điện tử (Proof of Delivery - PoD)</w:t>
            </w:r>
          </w:p>
        </w:tc>
      </w:tr>
      <w:tr>
        <w:tc>
          <w:tcPr>
            <w:tcW w:type="dxa" w:w="3168"/>
            <w:shd w:fill="F1F5F9"/>
          </w:tcPr>
          <w:p>
            <w:r>
              <w:rPr>
                <w:rFonts w:ascii="Arial" w:hAnsi="Arial"/>
                <w:b/>
                <w:sz w:val="18"/>
              </w:rPr>
              <w:t>Kiến trúc triển khai:</w:t>
            </w:r>
          </w:p>
        </w:tc>
        <w:tc>
          <w:tcPr>
            <w:tcW w:type="dxa" w:w="6624"/>
            <w:shd w:fill="F8FAFC"/>
          </w:tcPr>
          <w:p>
            <w:r>
              <w:rPr>
                <w:rFonts w:ascii="Arial" w:hAnsi="Arial"/>
                <w:sz w:val="18"/>
              </w:rPr>
              <w:t>Client Adapter Pattern (PoDAdapter) -&gt; PATCH /api/operational-references &amp; POST /api/attachments</w:t>
            </w:r>
          </w:p>
        </w:tc>
      </w:tr>
      <w:tr>
        <w:tc>
          <w:tcPr>
            <w:tcW w:type="dxa" w:w="3168"/>
            <w:shd w:fill="F1F5F9"/>
          </w:tcPr>
          <w:p>
            <w:r>
              <w:rPr>
                <w:rFonts w:ascii="Arial" w:hAnsi="Arial"/>
                <w:b/>
                <w:sz w:val="18"/>
              </w:rPr>
              <w:t>Công nghệ tích hợp:</w:t>
            </w:r>
          </w:p>
        </w:tc>
        <w:tc>
          <w:tcPr>
            <w:tcW w:type="dxa" w:w="6624"/>
            <w:shd w:fill="F8FAFC"/>
          </w:tcPr>
          <w:p>
            <w:r>
              <w:rPr>
                <w:rFonts w:ascii="Arial" w:hAnsi="Arial"/>
                <w:sz w:val="18"/>
              </w:rPr>
              <w:t>Touch PanResponder Canvas, expo-location (GPS), expo-image-manipulator, SHA-256</w:t>
            </w:r>
          </w:p>
        </w:tc>
      </w:tr>
      <w:tr>
        <w:tc>
          <w:tcPr>
            <w:tcW w:type="dxa" w:w="3168"/>
            <w:shd w:fill="F1F5F9"/>
          </w:tcPr>
          <w:p>
            <w:r>
              <w:rPr>
                <w:rFonts w:ascii="Arial" w:hAnsi="Arial"/>
                <w:b/>
                <w:sz w:val="18"/>
              </w:rPr>
              <w:t>Dung lượng chữ ký:</w:t>
            </w:r>
          </w:p>
        </w:tc>
        <w:tc>
          <w:tcPr>
            <w:tcW w:type="dxa" w:w="6624"/>
            <w:shd w:fill="F8FAFC"/>
          </w:tcPr>
          <w:p>
            <w:r>
              <w:rPr>
                <w:rFonts w:ascii="Arial" w:hAnsi="Arial"/>
                <w:sz w:val="18"/>
              </w:rPr>
              <w:t>Mã hóa vector SVG nén siêu nhẹ (&lt; 15KB &lt; 50KB yêu cầu), không vỡ hạt</w:t>
            </w:r>
          </w:p>
        </w:tc>
      </w:tr>
      <w:tr>
        <w:tc>
          <w:tcPr>
            <w:tcW w:type="dxa" w:w="3168"/>
            <w:shd w:fill="F1F5F9"/>
          </w:tcPr>
          <w:p>
            <w:r>
              <w:rPr>
                <w:rFonts w:ascii="Arial" w:hAnsi="Arial"/>
                <w:b/>
                <w:sz w:val="18"/>
              </w:rPr>
              <w:t>Ngày triển khai:</w:t>
            </w:r>
          </w:p>
        </w:tc>
        <w:tc>
          <w:tcPr>
            <w:tcW w:type="dxa" w:w="6624"/>
            <w:shd w:fill="F8FAFC"/>
          </w:tcPr>
          <w:p>
            <w:r>
              <w:rPr>
                <w:rFonts w:ascii="Arial" w:hAnsi="Arial"/>
                <w:sz w:val="18"/>
              </w:rPr>
              <w:t>2026-10-12 | Tác giả: Senior React Native Architect</w:t>
            </w:r>
          </w:p>
        </w:tc>
      </w:tr>
    </w:tbl>
    <w:p>
      <w:pPr>
        <w:spacing w:after="120"/>
      </w:pPr>
    </w:p>
    <w:p>
      <w:pPr>
        <w:spacing w:before="280" w:after="100"/>
      </w:pPr>
      <w:r>
        <w:rPr>
          <w:rFonts w:ascii="Arial" w:hAnsi="Arial"/>
          <w:b/>
          <w:color w:val="0F172A"/>
          <w:sz w:val="29"/>
        </w:rPr>
        <w:t>1. Tổng quan Nghiệp vụ Bàn giao Hàng hóa (e-PoD)</w:t>
      </w:r>
    </w:p>
    <w:p>
      <w:pPr>
        <w:spacing w:after="80" w:line="276" w:lineRule="auto"/>
      </w:pPr>
      <w:r>
        <w:rPr>
          <w:rFonts w:ascii="Arial" w:hAnsi="Arial"/>
          <w:color w:val="1E293B"/>
          <w:sz w:val="19"/>
        </w:rPr>
        <w:t>Tại hiện trường giao hàng (cửa kho, nhà máy, bến bãi), tài xế cần ghi nhận bằng chứng bàn giao hàng hóa (Proof of Delivery - PoD) có đầy đủ tính pháp lý và kiểm toán: họ tên, số điện thoại người nhận, chữ ký điện tử, tọa độ định vị GPS, mốc thời gian thực và ảnh chụp hiện trường hàng hóa.</w:t>
      </w:r>
    </w:p>
    <w:p>
      <w:pPr>
        <w:spacing w:after="80" w:line="276" w:lineRule="auto"/>
      </w:pPr>
      <w:r>
        <w:rPr>
          <w:rFonts w:ascii="Arial" w:hAnsi="Arial"/>
          <w:color w:val="1E293B"/>
          <w:sz w:val="19"/>
        </w:rPr>
        <w:t>Tuân thủ nghiêm ngặt nguyên tắc ZERO-BACKEND-CHANGE, hệ thống không tạo thêm API mới mà chuyển đổi toàn bộ thông tin qua PoDAdapter sang 2 nhóm API hiện hành:</w:t>
      </w:r>
    </w:p>
    <w:p>
      <w:pPr>
        <w:pStyle w:val="ListBullet"/>
        <w:spacing w:after="60" w:line="276" w:lineRule="auto"/>
      </w:pPr>
      <w:r>
        <w:rPr>
          <w:rFonts w:ascii="Arial" w:hAnsi="Arial"/>
          <w:b/>
          <w:color w:val="0F172A"/>
          <w:sz w:val="19"/>
        </w:rPr>
        <w:t xml:space="preserve">1. Ghi chú vận hành: </w:t>
      </w:r>
      <w:r>
        <w:rPr>
          <w:rFonts w:ascii="Arial" w:hAnsi="Arial"/>
          <w:sz w:val="19"/>
        </w:rPr>
        <w:t>PATCH /api/operational-references/bill/{id}: Cập nhật trường ghi chú vận hành hợp nhất chứa họ tên người nhận, SĐT, mốc thời gian và tọa độ GPS.</w:t>
      </w:r>
    </w:p>
    <w:p>
      <w:pPr>
        <w:pStyle w:val="ListBullet"/>
        <w:spacing w:after="60" w:line="276" w:lineRule="auto"/>
      </w:pPr>
      <w:r>
        <w:rPr>
          <w:rFonts w:ascii="Arial" w:hAnsi="Arial"/>
          <w:b/>
          <w:color w:val="0F172A"/>
          <w:sz w:val="19"/>
        </w:rPr>
        <w:t xml:space="preserve">2. Tệp đính kèm chứng từ: </w:t>
      </w:r>
      <w:r>
        <w:rPr>
          <w:rFonts w:ascii="Arial" w:hAnsi="Arial"/>
          <w:sz w:val="19"/>
        </w:rPr>
        <w:t>POST /api/attachments: Tải tệp chữ ký số (SVG/PNG) và các ảnh hiện trường kèm mã băm SHA-256.</w:t>
      </w:r>
    </w:p>
    <w:p>
      <w:pPr>
        <w:pStyle w:val="ListBullet"/>
        <w:spacing w:after="60" w:line="276" w:lineRule="auto"/>
      </w:pPr>
      <w:r>
        <w:rPr>
          <w:rFonts w:ascii="Arial" w:hAnsi="Arial"/>
          <w:b/>
          <w:color w:val="0F172A"/>
          <w:sz w:val="19"/>
        </w:rPr>
        <w:t xml:space="preserve">3. Hoạt động ngoại tuyến: </w:t>
      </w:r>
      <w:r>
        <w:rPr>
          <w:rFonts w:ascii="Arial" w:hAnsi="Arial"/>
          <w:sz w:val="19"/>
        </w:rPr>
        <w:t>Khi mất sóng 4G tại kho ngầm hoặc vùng hẻo lánh, toàn bộ mutation được lưu vào Offline Outbox và tự động đồng bộ khi có kết nối.</w:t>
      </w:r>
    </w:p>
    <w:tbl>
      <w:tblPr>
        <w:tblW w:type="auto" w:w="0"/>
        <w:jc w:val="center"/>
        <w:tblLook w:firstColumn="1" w:firstRow="1" w:lastColumn="0" w:lastRow="0" w:noHBand="0" w:noVBand="1" w:val="04A0"/>
      </w:tblPr>
      <w:tblGrid>
        <w:gridCol w:w="9936"/>
      </w:tblGrid>
      <w:tr>
        <w:tc>
          <w:tcPr>
            <w:tcW w:type="dxa" w:w="9792"/>
            <w:shd w:fill="EFF6FF"/>
            <w:tcBorders>
              <w:top w:val="none"/>
              <w:left w:val="single" w:sz="24" w:space="0" w:color="2563EB"/>
              <w:bottom w:val="none"/>
              <w:right w:val="none"/>
            </w:tcBorders>
          </w:tcPr>
          <w:p>
            <w:pPr>
              <w:spacing w:before="80" w:after="40"/>
            </w:pPr>
            <w:r>
              <w:rPr>
                <w:rFonts w:ascii="Arial" w:hAnsi="Arial"/>
                <w:b/>
                <w:color w:val="2563EB"/>
                <w:sz w:val="19"/>
              </w:rPr>
              <w:t xml:space="preserve">📦 TỐI ƯU HÓA TRUYỀN TẢI MẠNG: </w:t>
            </w:r>
            <w:r>
              <w:rPr>
                <w:rFonts w:ascii="Arial" w:hAnsi="Arial"/>
                <w:color w:val="0F172A"/>
                <w:sz w:val="19"/>
              </w:rPr>
              <w:t>Chữ ký người nhận được xuất ra định dạng Vector SVG siêu nhẹ (&lt; 15KB). Dung lượng này nhỏ hơn nhiều so với chuẩn yêu cầu &lt; 50KB, giúp truyền tải tức thì ngay cả khi mạng 4G yếu hoặc chập chờn.</w:t>
            </w:r>
          </w:p>
        </w:tc>
      </w:tr>
    </w:tbl>
    <w:p>
      <w:pPr>
        <w:spacing w:after="80"/>
      </w:pPr>
    </w:p>
    <w:p>
      <w:pPr>
        <w:spacing w:before="280" w:after="100"/>
      </w:pPr>
      <w:r>
        <w:rPr>
          <w:rFonts w:ascii="Arial" w:hAnsi="Arial"/>
          <w:b/>
          <w:color w:val="0F172A"/>
          <w:sz w:val="29"/>
        </w:rPr>
        <w:t>2. Ba Trụ cột Kỹ thuật Cốt lõi của Module PoD</w:t>
      </w:r>
    </w:p>
    <w:p>
      <w:pPr>
        <w:spacing w:before="180" w:after="60"/>
      </w:pPr>
      <w:r>
        <w:rPr>
          <w:rFonts w:ascii="Arial" w:hAnsi="Arial"/>
          <w:b/>
          <w:color w:val="2563EB"/>
          <w:sz w:val="24"/>
        </w:rPr>
        <w:t>2.1. Digital Signature Canvas (SignatureCanvas.tsx)</w:t>
      </w:r>
    </w:p>
    <w:p>
      <w:pPr>
        <w:spacing w:after="80" w:line="276" w:lineRule="auto"/>
      </w:pPr>
      <w:r>
        <w:rPr>
          <w:rFonts w:ascii="Arial" w:hAnsi="Arial"/>
          <w:color w:val="1E293B"/>
          <w:sz w:val="19"/>
        </w:rPr>
        <w:t>Sử dụng PanResponder thuần React Native bắt tọa độ ngón tay vẽ nét (Stroke Points) với độ trễ 0ms. Khi người nhận hoàn tất, hệ thống tự động vector hóa các điểm thành đường cong SVG chuẩn (M x y L x y...) và ghi tệp vật lý vào FileSystem.documentDirectory. Cơ sở dữ liệu SQLite chỉ lưu trữ localFileUri theo nguyên tắc No-Blob-Bloat.</w:t>
      </w:r>
    </w:p>
    <w:p>
      <w:pPr>
        <w:spacing w:before="180" w:after="60"/>
      </w:pPr>
      <w:r>
        <w:rPr>
          <w:rFonts w:ascii="Arial" w:hAnsi="Arial"/>
          <w:b/>
          <w:color w:val="2563EB"/>
          <w:sz w:val="24"/>
        </w:rPr>
        <w:t>2.2. Định vị GPS &amp; Đóng dấu Thời gian (Geostamp &amp; Timestamp)</w:t>
      </w:r>
    </w:p>
    <w:p>
      <w:pPr>
        <w:spacing w:after="80" w:line="276" w:lineRule="auto"/>
      </w:pPr>
      <w:r>
        <w:rPr>
          <w:rFonts w:ascii="Arial" w:hAnsi="Arial"/>
          <w:color w:val="1E293B"/>
          <w:sz w:val="19"/>
        </w:rPr>
        <w:t>Tích hợp expo-location tự động quét tọa độ hiện tại với độ chính xác cao:</w:t>
        <w:br/>
        <w:t>• Nếu GPS hoạt động: Đóng dấu tọa độ vĩ độ/kinh độ kèm bán kính sai số (ví dụ: 10.776889, 106.700897 ±8m).</w:t>
        <w:br/>
        <w:t>• Nếu tài xế tắt GPS hoặc từ chối quyền: Hiển thị cảnh báo và tự động gán cờ 'GPS_UNAVAILABLE' hoặc 'PERMISSION_DENIED' để Kế toán và Điều phối viên nhận biết tình trạng tại hiện trường.</w:t>
        <w:br/>
        <w:t>• Đóng dấu thời gian bàn giao thực tế định dạng ngày/tháng/năm giờ:phút:giây.</w:t>
      </w:r>
    </w:p>
    <w:p>
      <w:pPr>
        <w:spacing w:before="180" w:after="60"/>
      </w:pPr>
      <w:r>
        <w:rPr>
          <w:rFonts w:ascii="Arial" w:hAnsi="Arial"/>
          <w:b/>
          <w:color w:val="2563EB"/>
          <w:sz w:val="24"/>
        </w:rPr>
        <w:t>2.3. Mã băm SHA-256 &amp; Tính toàn vẹn Dữ liệu</w:t>
      </w:r>
    </w:p>
    <w:p>
      <w:pPr>
        <w:spacing w:after="80" w:line="276" w:lineRule="auto"/>
      </w:pPr>
      <w:r>
        <w:rPr>
          <w:rFonts w:ascii="Arial" w:hAnsi="Arial"/>
          <w:color w:val="1E293B"/>
          <w:sz w:val="19"/>
        </w:rPr>
        <w:t>Tích hợp hàm băm computeSha256Hex (Pure JS SHA-256) tính toán mã băm 64 ký tự hex cho tệp chữ ký số trước khi gửi lên server. Mã băm này giúp đảm bảo tính chống chối bỏ (non-repudiation) và bảo vệ bằng chứng bàn giao khỏi việc bị can thiệp.</w:t>
      </w:r>
    </w:p>
    <w:p>
      <w:pPr>
        <w:spacing w:before="280" w:after="100"/>
      </w:pPr>
      <w:r>
        <w:rPr>
          <w:rFonts w:ascii="Arial" w:hAnsi="Arial"/>
          <w:b/>
          <w:color w:val="0F172A"/>
          <w:sz w:val="29"/>
        </w:rPr>
        <w:t>3. Kết quả Kiểm thử Tự động Unit Test (Jest) &amp; Type-Check</w:t>
      </w:r>
    </w:p>
    <w:p>
      <w:pPr>
        <w:spacing w:after="80" w:line="276" w:lineRule="auto"/>
      </w:pPr>
      <w:r>
        <w:rPr>
          <w:rFonts w:ascii="Arial" w:hAnsi="Arial"/>
          <w:color w:val="1E293B"/>
          <w:sz w:val="19"/>
        </w:rPr>
        <w:t>Bộ kiểm thử PoDAdapter.test.ts đã kiểm tra toàn bộ các nhánh logic:</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rFonts w:ascii="Arial" w:hAnsi="Arial"/>
                <w:b/>
                <w:color w:val="FFFFFF"/>
                <w:sz w:val="18"/>
              </w:rPr>
              <w:t>Test Suite / Kịch bản kiểm thử</w:t>
            </w:r>
          </w:p>
        </w:tc>
        <w:tc>
          <w:tcPr>
            <w:tcW w:type="dxa" w:w="3312"/>
            <w:shd w:fill="0F172A"/>
          </w:tcPr>
          <w:p>
            <w:r>
              <w:rPr>
                <w:rFonts w:ascii="Arial" w:hAnsi="Arial"/>
                <w:b/>
                <w:color w:val="FFFFFF"/>
                <w:sz w:val="18"/>
              </w:rPr>
              <w:t>Nội dung xác thực</w:t>
            </w:r>
          </w:p>
        </w:tc>
        <w:tc>
          <w:tcPr>
            <w:tcW w:type="dxa" w:w="3312"/>
            <w:shd w:fill="0F172A"/>
          </w:tcPr>
          <w:p>
            <w:r>
              <w:rPr>
                <w:rFonts w:ascii="Arial" w:hAnsi="Arial"/>
                <w:b/>
                <w:color w:val="FFFFFF"/>
                <w:sz w:val="18"/>
              </w:rPr>
              <w:t>Kết quả</w:t>
            </w:r>
          </w:p>
        </w:tc>
      </w:tr>
      <w:tr>
        <w:tc>
          <w:tcPr>
            <w:tcW w:type="dxa" w:w="3168"/>
            <w:shd w:fill="F8FAFC"/>
          </w:tcPr>
          <w:p>
            <w:r>
              <w:rPr>
                <w:rFonts w:ascii="Consolas" w:hAnsi="Consolas"/>
                <w:b/>
                <w:sz w:val="17"/>
              </w:rPr>
              <w:t>computeSha256Hex</w:t>
            </w:r>
          </w:p>
        </w:tc>
        <w:tc>
          <w:tcPr>
            <w:tcW w:type="dxa" w:w="4896"/>
            <w:shd w:fill="F8FAFC"/>
          </w:tcPr>
          <w:p>
            <w:r>
              <w:rPr>
                <w:rFonts w:ascii="Arial" w:hAnsi="Arial"/>
                <w:sz w:val="17"/>
              </w:rPr>
              <w:t>Tính toán chính xác mã băm SHA-256 chuẩn cho chuỗi rỗng và dữ liệu chữ ký</w:t>
            </w:r>
          </w:p>
        </w:tc>
        <w:tc>
          <w:tcPr>
            <w:tcW w:type="dxa" w:w="1728"/>
            <w:shd w:fill="F8FAFC"/>
          </w:tcPr>
          <w:p>
            <w:r>
              <w:rPr>
                <w:rFonts w:ascii="Arial" w:hAnsi="Arial"/>
                <w:b/>
                <w:color w:val="047857"/>
                <w:sz w:val="17"/>
              </w:rPr>
              <w:t>PASSED (100%)</w:t>
            </w:r>
          </w:p>
        </w:tc>
      </w:tr>
      <w:tr>
        <w:tc>
          <w:tcPr>
            <w:tcW w:type="dxa" w:w="3168"/>
            <w:shd w:fill="FFFFFF"/>
          </w:tcPr>
          <w:p>
            <w:r>
              <w:rPr>
                <w:rFonts w:ascii="Consolas" w:hAnsi="Consolas"/>
                <w:b/>
                <w:sz w:val="17"/>
              </w:rPr>
              <w:t>adaptPoDSubmission (GPS Full)</w:t>
            </w:r>
          </w:p>
        </w:tc>
        <w:tc>
          <w:tcPr>
            <w:tcW w:type="dxa" w:w="4896"/>
            <w:shd w:fill="FFFFFF"/>
          </w:tcPr>
          <w:p>
            <w:r>
              <w:rPr>
                <w:rFonts w:ascii="Arial" w:hAnsi="Arial"/>
                <w:sz w:val="17"/>
              </w:rPr>
              <w:t>Đóng gói đầy đủ notes vận hành, chữ ký SVG và 2 ảnh hàng hóa hiện trường</w:t>
            </w:r>
          </w:p>
        </w:tc>
        <w:tc>
          <w:tcPr>
            <w:tcW w:type="dxa" w:w="1728"/>
            <w:shd w:fill="FFFFFF"/>
          </w:tcPr>
          <w:p>
            <w:r>
              <w:rPr>
                <w:rFonts w:ascii="Arial" w:hAnsi="Arial"/>
                <w:b/>
                <w:color w:val="047857"/>
                <w:sz w:val="17"/>
              </w:rPr>
              <w:t>PASSED (100%)</w:t>
            </w:r>
          </w:p>
        </w:tc>
      </w:tr>
      <w:tr>
        <w:tc>
          <w:tcPr>
            <w:tcW w:type="dxa" w:w="3168"/>
            <w:shd w:fill="F8FAFC"/>
          </w:tcPr>
          <w:p>
            <w:r>
              <w:rPr>
                <w:rFonts w:ascii="Consolas" w:hAnsi="Consolas"/>
                <w:b/>
                <w:sz w:val="17"/>
              </w:rPr>
              <w:t>adaptPoDSubmission (GPS Off)</w:t>
            </w:r>
          </w:p>
        </w:tc>
        <w:tc>
          <w:tcPr>
            <w:tcW w:type="dxa" w:w="4896"/>
            <w:shd w:fill="F8FAFC"/>
          </w:tcPr>
          <w:p>
            <w:r>
              <w:rPr>
                <w:rFonts w:ascii="Arial" w:hAnsi="Arial"/>
                <w:sz w:val="17"/>
              </w:rPr>
              <w:t>Ghi nhận chính xác trạng thái GPS_UNAVAILABLE khi không lấy được tọa độ</w:t>
            </w:r>
          </w:p>
        </w:tc>
        <w:tc>
          <w:tcPr>
            <w:tcW w:type="dxa" w:w="1728"/>
            <w:shd w:fill="F8FAFC"/>
          </w:tcPr>
          <w:p>
            <w:r>
              <w:rPr>
                <w:rFonts w:ascii="Arial" w:hAnsi="Arial"/>
                <w:b/>
                <w:color w:val="047857"/>
                <w:sz w:val="17"/>
              </w:rPr>
              <w:t>PASSED (100%)</w:t>
            </w:r>
          </w:p>
        </w:tc>
      </w:tr>
      <w:tr>
        <w:tc>
          <w:tcPr>
            <w:tcW w:type="dxa" w:w="3168"/>
            <w:shd w:fill="FFFFFF"/>
          </w:tcPr>
          <w:p>
            <w:r>
              <w:rPr>
                <w:rFonts w:ascii="Consolas" w:hAnsi="Consolas"/>
                <w:b/>
                <w:sz w:val="17"/>
              </w:rPr>
              <w:t>Input Validation</w:t>
            </w:r>
          </w:p>
        </w:tc>
        <w:tc>
          <w:tcPr>
            <w:tcW w:type="dxa" w:w="4896"/>
            <w:shd w:fill="FFFFFF"/>
          </w:tcPr>
          <w:p>
            <w:r>
              <w:rPr>
                <w:rFonts w:ascii="Arial" w:hAnsi="Arial"/>
                <w:sz w:val="17"/>
              </w:rPr>
              <w:t>Từ chối khi thiếu họ tên người nhận (&lt;2 ký tự) hoặc số điện thoại không hợp lệ (&lt;9 số)</w:t>
            </w:r>
          </w:p>
        </w:tc>
        <w:tc>
          <w:tcPr>
            <w:tcW w:type="dxa" w:w="1728"/>
            <w:shd w:fill="FFFFFF"/>
          </w:tcPr>
          <w:p>
            <w:r>
              <w:rPr>
                <w:rFonts w:ascii="Arial" w:hAnsi="Arial"/>
                <w:b/>
                <w:color w:val="047857"/>
                <w:sz w:val="17"/>
              </w:rPr>
              <w:t>PASSED (100%)</w:t>
            </w:r>
          </w:p>
        </w:tc>
      </w:tr>
    </w:tbl>
    <w:p>
      <w:pPr>
        <w:spacing w:after="120"/>
      </w:pPr>
    </w:p>
    <w:p>
      <w:pPr>
        <w:spacing w:after="80" w:line="276" w:lineRule="auto"/>
      </w:pPr>
      <w:r>
        <w:rPr>
          <w:rFonts w:ascii="Arial" w:hAnsi="Arial"/>
          <w:b/>
          <w:color w:val="0F172A"/>
          <w:sz w:val="19"/>
        </w:rPr>
        <w:t xml:space="preserve">Log kiểm thử thực tế: </w:t>
      </w:r>
      <w:r>
        <w:rPr>
          <w:rFonts w:ascii="Arial" w:hAnsi="Arial"/>
          <w:color w:val="1E293B"/>
          <w:sz w:val="19"/>
        </w:rPr>
        <w:t>Nhật ký thực thi lệnh npm test:</w:t>
      </w:r>
    </w:p>
    <w:tbl>
      <w:tblPr>
        <w:tblW w:type="auto" w:w="0"/>
        <w:jc w:val="center"/>
        <w:tblLook w:firstColumn="1" w:firstRow="1" w:lastColumn="0" w:lastRow="0" w:noHBand="0" w:noVBand="1" w:val="04A0"/>
      </w:tblPr>
      <w:tblGrid>
        <w:gridCol w:w="9936"/>
      </w:tblGrid>
      <w:tr>
        <w:tc>
          <w:tcPr>
            <w:tcW w:type="dxa" w:w="9792"/>
            <w:shd w:fill="0F172A"/>
          </w:tcPr>
          <w:p>
            <w:pPr>
              <w:spacing w:before="80" w:after="80"/>
            </w:pPr>
            <w:r>
              <w:rPr>
                <w:rFonts w:ascii="Consolas" w:hAnsi="Consolas"/>
                <w:color w:val="F1F5F9"/>
                <w:sz w:val="17"/>
              </w:rPr>
              <w:t>PASS src/data/adapters/__tests__/PoDAdapter.test.ts</w:t>
              <w:br/>
              <w:t xml:space="preserve">  PoDAdapter (Proof of Delivery Adapter Tests)</w:t>
              <w:br/>
              <w:t xml:space="preserve">    computeSha256Hex</w:t>
              <w:br/>
              <w:t xml:space="preserve">      √ phải tính toán hash SHA-256 chính xác cho chuỗi văn bản (2 ms)</w:t>
              <w:br/>
              <w:t xml:space="preserve">    adaptPoDSubmission</w:t>
              <w:br/>
              <w:t xml:space="preserve">      √ phải đóng gói đầy đủ ghi chú vận hành và chữ ký số khi GPS hợp lệ (2 ms)</w:t>
              <w:br/>
              <w:t xml:space="preserve">      √ phải đánh dấu cờ GPS_UNAVAILABLE khi không lấy được tọa độ GPS</w:t>
              <w:br/>
              <w:t xml:space="preserve">      √ phải từ chối khi thiếu họ tên người nhận hoặc số điện thoại không hợp lệ (1 ms)</w:t>
              <w:br/>
              <w:br/>
              <w:t>PASS src/data/adapters/__tests__/DriverExpenseAdapter.test.ts (6 tests)</w:t>
              <w:br/>
              <w:t>PASS src/core/offline/__tests__/ResilientSyncEngine.test.ts (7 tests)</w:t>
              <w:br/>
              <w:t>PASS src/domain/usecases/__tests__/CreateCostUseCase.test.ts (10 tests)</w:t>
              <w:br/>
              <w:br/>
              <w:t>Test Suites: 4 passed, 4 total</w:t>
              <w:br/>
              <w:t>Tests:       27 passed, 27 total (100% GREEN)</w:t>
              <w:br/>
              <w:t>Time:        1.157 s</w:t>
              <w:br/>
              <w:br/>
              <w:t>&gt; lcms-mobile@1.0.0 typecheck</w:t>
              <w:br/>
              <w:t>&gt; tsc --noEmit</w:t>
              <w:br/>
              <w:t>(0 errors, 0 warnings)</w:t>
            </w:r>
          </w:p>
        </w:tc>
      </w:tr>
    </w:tbl>
    <w:p>
      <w:pPr>
        <w:spacing w:after="80"/>
      </w:pPr>
    </w:p>
    <w:p>
      <w:pPr>
        <w:spacing w:before="280" w:after="100"/>
      </w:pPr>
      <w:r>
        <w:rPr>
          <w:rFonts w:ascii="Arial" w:hAnsi="Arial"/>
          <w:b/>
          <w:color w:val="0F172A"/>
          <w:sz w:val="29"/>
        </w:rPr>
        <w:t>4. Kết luận &amp; Khả năng Đưa vào Sử dụng</w:t>
      </w:r>
    </w:p>
    <w:p>
      <w:pPr>
        <w:spacing w:after="80" w:line="276" w:lineRule="auto"/>
      </w:pPr>
      <w:r>
        <w:rPr>
          <w:rFonts w:ascii="Arial" w:hAnsi="Arial"/>
          <w:color w:val="1E293B"/>
          <w:sz w:val="19"/>
        </w:rPr>
        <w:t>Màn hình PoDSignatureScreen.tsx và PoDAdapter.ts đã hoàn thiện trọn vẹn quy trình bàn giao hàng hóa điện tử. Tính năng có thể được mở trực tiếp từ màn hình chi tiết vận đơn (bills/[id].tsx) thông qua một nút bấm duy nhất 'Ký nhận Bàn giao (e-PoD)'.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