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ĐẶC TẢ BỔ SUNG CHO DEV</w:t>
      </w:r>
    </w:p>
    <w:p>
      <w:r>
        <w:t>Charge-Level Profitability · Partner-Aware Pricing · VAT cố định | v1.0 | 08/10/2026</w:t>
      </w:r>
    </w:p>
    <w:p>
      <w:r>
        <w:t>[PO CONFIRMED] CP-01, CP-02 và CP-03. VAT chọn phương án A: chỉ thêm trường Thuế suất VAT (%) tại Tạo/Sửa Bảng giá và Tạo/Sửa Phụ phí; không thêm chính sách VAT, giá bao gồm VAT, ngày hiệu lực VAT riêng, nguồn xác định VAT, tra cứu VAT tự động.</w:t>
      </w:r>
    </w:p>
    <w:p>
      <w:pPr>
        <w:pStyle w:val="Heading1"/>
      </w:pPr>
      <w:r>
        <w:t>1. Mục tiêu và phạm vi</w:t>
      </w:r>
    </w:p>
    <w:p>
      <w:r>
        <w:t>CP-01: tính lãi/lỗ theo loại khoản mục kinh tế (ví dụ PACKAGING) và drill-down từ Order/Bill đến Cost/Revenue, chứng từ; cảnh báo khi lãi/lỗ âm.</w:t>
      </w:r>
    </w:p>
    <w:p>
      <w:r>
        <w:t>CP-02: liên kết đối tác cho Rate Card và Surcharge BUY/SELL; tự động đề xuất/kế thừa khách hàng và nhà cung cấp, tránh nhập lại; không đồng nhất đối tác mặc định với đối tác thực tế.</w:t>
      </w:r>
    </w:p>
    <w:p>
      <w:r>
        <w:t>CP-03: khai Thuế suất VAT (%) cố định, kế thừa qua Rating, Cost/Revenue, chứng từ, AP/AR; không làm sai economic profitability hoặc công nợ.</w:t>
      </w:r>
    </w:p>
    <w:p>
      <w:r>
        <w:t>Phạm vi sửa: UI Bảng giá/Phụ phí, danh mục khoản mục, Rating, Bill/Order Financial View, Cost/Revenue, Financial Document, AP/AR, audit, API/import, báo cáo. Không thay đổi các quyết định kiến trúc khác.</w:t>
      </w:r>
    </w:p>
    <w:p>
      <w:pPr>
        <w:pStyle w:val="Heading1"/>
      </w:pPr>
      <w:r>
        <w:t>2. Quy tắc nghiệp vụ CP-01 – lợi nhuận theo khoản mục</w:t>
      </w:r>
    </w:p>
    <w:p>
      <w:r>
        <w:t>PRF-01: Mỗi dòng Cost/Revenue được gắn economic_charge_type_id (ví dụ PACKAGING, PICKUP, FREIGHT), khác với mã Cost Type/Revenue Type kế toán hoặc mã Surcharge Version.</w:t>
      </w:r>
    </w:p>
    <w:p>
      <w:r>
        <w:t>PRF-02: BUY và SELL có thể có hai nguồn giá, đối tác, currency và maturity khác nhau nhưng quy về cùng loại khoản mục khi tính lợi nhuận.</w:t>
      </w:r>
    </w:p>
    <w:p>
      <w:r>
        <w:t>PRF-03: Kết quả theo khoản mục = Revenue basis – Cost basis, sau khi quy đổi về Reporting Currency theo FX baseline; phân biệt Expected/Confirmed/Actual và as-of.</w:t>
      </w:r>
    </w:p>
    <w:p>
      <w:r>
        <w:t>PRF-04: Không trộn maturity thiếu kiểm soát. Nếu chỉ có doanh thu dự kiến và chi phí thực tế, ghi rõ “so sánh hỗn hợp” và không gọi là lỗ thực tế.</w:t>
      </w:r>
    </w:p>
    <w:p>
      <w:r>
        <w:t>PRF-05: Khoản Cost/Revenue phân bổ nhiều Bill/Order phải sử dụng allocation detail hợp lệ; không nhân đôi giá trị kinh tế. Lợi nhuận Order cần phân bổ/đối chiếu theo quan hệ Order↔Bill N:N.</w:t>
      </w:r>
    </w:p>
    <w:p>
      <w:r>
        <w:t>PRF-06: Cảnh báo âm khi dữ liệu đủ theo basis được chọn; hiển thị chênh lệch, loại khoản mục, nguồn dòng, đối tác và FX. Dữ liệu thiếu = Chưa đủ dữ liệu, không kết luận lỗ.</w:t>
      </w:r>
    </w:p>
    <w:p>
      <w:r>
        <w:t>PRF-07: Phụ phí độc lập là một nguồn tạo Expected Cost/Revenue; người dùng vẫn có thể nhập trực tiếp Cost/Revenue và gắn loại khoản mục.</w:t>
      </w:r>
    </w:p>
    <w:p>
      <w:r>
        <w:t>PRF-08: Không lấy số tiền thanh toán/thu tiền để tính lợi nhuận kinh tế; không double count khi chứng từ/AP/AR được ghi nhận.</w:t>
      </w:r>
    </w:p>
    <w:p>
      <w:pPr>
        <w:pStyle w:val="Heading1"/>
      </w:pPr>
      <w:r>
        <w:t>3. Quy tắc nghiệp vụ CP-02 – đối tác</w:t>
      </w:r>
    </w:p>
    <w:p>
      <w:r>
        <w:t>PAR-01: Rate Card BUY cho phép chọn supplier_id; Rate Card SELL cho phép chọn customer_id hoặc customer_group_id. Scope chung có thể để trống.</w:t>
      </w:r>
    </w:p>
    <w:p>
      <w:r>
        <w:t>PAR-02: Surcharge BUY có optional supplier_id; Surcharge SELL có optional customer_id/customer_group_id; không bắt buộc liên kết Rate Card.</w:t>
      </w:r>
    </w:p>
    <w:p>
      <w:r>
        <w:t>PAR-03: Khi Rating, engine xét đối tác trong applicability. Nếu nhiều nguồn giá cùng match, áp dụng precedence có trace; không chọn ngẫu nhiên.</w:t>
      </w:r>
    </w:p>
    <w:p>
      <w:r>
        <w:t>PAR-04: Bill/Order xác định khách hàng trả tiền theo ngữ cảnh nghiệp vụ; SELL Rating kế thừa payer/customer phù hợp. BUY Rating có thể gắn supplier dự kiến theo nguồn giá.</w:t>
      </w:r>
    </w:p>
    <w:p>
      <w:r>
        <w:t>PAR-05: Dòng Cost/Revenue lưu partner_suggested_id và partner_actual_id (hoặc các trường tương đương); người dùng có quyền đổi actual với lý do và audit; không ghi đè Rate Card master.</w:t>
      </w:r>
    </w:p>
    <w:p>
      <w:r>
        <w:t>PAR-06: Một Bill có thể có nhiều nhà cung cấp trên các dòng phí khác nhau; không ép supplier cấp Bill.</w:t>
      </w:r>
    </w:p>
    <w:p>
      <w:r>
        <w:t>PAR-07: Khi không xác định được supplier, cho phép lưu draft với trạng thái thiếu đối tác; kiểm tra bắt buộc trước các bước phát sinh nghĩa vụ theo policy hiện hành.</w:t>
      </w:r>
    </w:p>
    <w:p>
      <w:r>
        <w:t>PAR-08: Supplier thay đổi sau Rating không tự động thay đổi economic cost; nếu ảnh hưởng điều kiện giá, đánh dấu cần rerating và tạo Rating mới.</w:t>
      </w:r>
    </w:p>
    <w:p>
      <w:pPr>
        <w:pStyle w:val="Heading1"/>
      </w:pPr>
      <w:r>
        <w:t>4. Quy tắc nghiệp vụ CP-03 – VAT cố định theo khai báo</w:t>
      </w:r>
    </w:p>
    <w:p>
      <w:r>
        <w:t>VAT-01 [PO CONFIRMED]: Trường duy nhất bổ sung ở form Rate Card và Surcharge là Thuế suất VAT (%). Không xây dựng các trường bổ sung mà PO đã loại bỏ.</w:t>
      </w:r>
    </w:p>
    <w:p>
      <w:r>
        <w:t>VAT-02: Giá trị là số không âm, hỗ trợ 0 và tỷ lệ thập phân; backend validate theo giới hạn cấu hình hợp lệ. Không tự động tra cứu tỷ lệ từ web/đối tác.</w:t>
      </w:r>
    </w:p>
    <w:p>
      <w:r>
        <w:t>VAT-03: Rate Card VAT áp dụng mặc định cho các dòng cước chính thuộc version đó; Surcharge có VAT riêng độc lập. Khi rating snapshot vat_rate ở từng rating detail.</w:t>
      </w:r>
    </w:p>
    <w:p>
      <w:r>
        <w:t>VAT-04: Giả định tính toán cho đặc tả này: đơn giá bảng giá/phụ phí là giá chưa VAT; amount_before_vat × vat_rate/100 = vat_amount; gross = net + vat. Đây là quy ước tính toán cần DEV kiểm tra với dữ liệu cũ trước cutover, không thêm ô “Giá đã bao gồm VAT?”.</w:t>
      </w:r>
    </w:p>
    <w:p>
      <w:r>
        <w:t>VAT-05: Lưu riêng net_amount, vat_rate, vat_amount, gross_amount, currency và FX trace ở từng dòng. Không dùng gross làm Economic Revenue/Cost một cách mặc định.</w:t>
      </w:r>
    </w:p>
    <w:p>
      <w:r>
        <w:t>VAT-06: VAT hóa đơn thực tế có thể khác VAT dự kiến từ Rating; ghi nhận chênh lệch và đối soát, không tự sửa Rating lịch sử.</w:t>
      </w:r>
    </w:p>
    <w:p>
      <w:r>
        <w:t>VAT-07: AP/AR phải thể hiện số nghĩa vụ theo chứng từ gồm VAT khi phù hợp; việc VAT đầu vào không được khấu trừ là trường hợp kế toán riêng, không tự suy diễn từ tỷ lệ VAT của bảng giá.</w:t>
      </w:r>
    </w:p>
    <w:p>
      <w:r>
        <w:t>VAT-08: VAT 0% không được dùng để suy ra “không chịu thuế” hoặc “không phải kê khai”; đặc tả này không xây Tax Engine/phân loại thuế.</w:t>
      </w:r>
    </w:p>
    <w:p>
      <w:r>
        <w:t>VAT-09: Không có hiệu lực VAT riêng; VAT đi theo version/hiệu lực sẵn có của Rate Card/Surcharge. Published version bất biến.</w:t>
      </w:r>
    </w:p>
    <w:p>
      <w:r>
        <w:t>VAT-10: Dữ liệu cũ thiếu VAT: không tự gán 0% và tuyên bố là thuế suất đúng. Đánh dấu chưa khai báo; DEV phải báo cáo migration và hướng xử lý.</w:t>
      </w:r>
    </w:p>
    <w:p>
      <w:pPr>
        <w:pStyle w:val="Heading1"/>
      </w:pPr>
      <w:r>
        <w:t>5. Data dictionary tối thiểu</w:t>
      </w:r>
    </w:p>
    <w:p>
      <w:r>
        <w:t>economic_charge_types: id, tenant_id, code, name, active. cost_revenue_charge_mapping: cost_type_id/revenue_type_id → economic_charge_type_id; mapping có audit.</w:t>
      </w:r>
    </w:p>
    <w:p>
      <w:r>
        <w:t>rate_cards/rate_versions: customer_id/customer_group_id/supplier_id nullable theo BUY/SELL; vat_rate nullable với trạng thái chưa khai báo; versioning theo baseline.</w:t>
      </w:r>
    </w:p>
    <w:p>
      <w:r>
        <w:t>surcharges/surcharge_versions: partner scope nullable; vat_rate; effective period sẵn có; published immutable.</w:t>
      </w:r>
    </w:p>
    <w:p>
      <w:r>
        <w:t>rating_details: economic_charge_type_id, charge_source_type, charge_source_id/version, direction, partner_suggested_id, net_amount, vat_rate, vat_amount, gross_amount, original_currency, reporting_amount, fx_trace.</w:t>
      </w:r>
    </w:p>
    <w:p>
      <w:r>
        <w:t>costs/revenues: economic_charge_type_id, partner_actual_id, partner_suggested_id, source rating detail optional, net/vat/gross, maturity, audit, bill/order allocations.</w:t>
      </w:r>
    </w:p>
    <w:p>
      <w:r>
        <w:t>profitability_charge_read_model: bill_id/order_id, economic_charge_type_id, maturity_basis, cost_reporting, revenue_reporting, profit_reporting, margin_pct, data_completeness, negative_flag, as_of.</w:t>
      </w:r>
    </w:p>
    <w:p>
      <w:pPr>
        <w:pStyle w:val="Heading1"/>
      </w:pPr>
      <w:r>
        <w:t>6. UI / quy trình</w:t>
      </w:r>
    </w:p>
    <w:p>
      <w:r>
        <w:t>Tạo/Sửa Bảng giá: giữ BUY/SELL; hiển thị đối tác phù hợp chiều và Thuế suất VAT (%). Cấu phần cước chính kế thừa chiều BUY/SELL, không cho chọn Chi phí/Doanh thu ngược chiều.</w:t>
      </w:r>
    </w:p>
    <w:p>
      <w:r>
        <w:t>Tạo/Sửa Phụ phí: giữ tính độc lập; thêm đối tác theo BUY/SELL và Thuế suất VAT (%). Không tạo trường cấu hình VAT khác.</w:t>
      </w:r>
    </w:p>
    <w:p>
      <w:r>
        <w:t>Bill/Order: bảng phân tích theo khoản mục hiển thị giá mua, giá bán, lợi nhuận, maturity, trạng thái đủ dữ liệu và cảnh báo âm; click dòng để drill-down.</w:t>
      </w:r>
    </w:p>
    <w:p>
      <w:r>
        <w:t>Tạo Cost/Revenue: chọn loại khoản mục kinh tế (hoặc tự mapping từ loại chi phí/doanh thu), gợi ý đối tác từ Rating, cho phép sửa có audit.</w:t>
      </w:r>
    </w:p>
    <w:p>
      <w:r>
        <w:t>Chứng từ: nhận dòng VAT thực tế; matching với dòng Cost/Revenue và khoản mục; không ép invoice amount bằng Expected Rating.</w:t>
      </w:r>
    </w:p>
    <w:p>
      <w:r>
        <w:t>Quy trình: Rate Card/Surcharge → Rating (Expected) → Cost/Revenue actual/confirmed → Financial Document → AP/AR; Profitability là read model, không tạo bút toán độc lập.</w:t>
      </w:r>
    </w:p>
    <w:p>
      <w:pPr>
        <w:pStyle w:val="Heading1"/>
      </w:pPr>
      <w:r>
        <w:t>7. Tình huống ví dụ</w:t>
      </w:r>
    </w:p>
    <w:p>
      <w:r>
        <w:t>Bill X, PACKAGING: BUY supplier A net 150.000 VND VAT 10% = 15.000, gross 165.000; SELL customer ABC net 100.000 VAT 10% = 10.000, gross 110.000. Lãi/lỗ trước VAT = -50.000 VND; cảnh báo bán lỗ nếu BUY/SELL có cùng basis và đủ dữ liệu.</w:t>
      </w:r>
    </w:p>
    <w:p>
      <w:r>
        <w:t>Bill X, PICKUP: BUY supplier B net 80.000, SELL customer ABC net 120.000; lãi +40.000. Cảnh báo PACKAGING không bị che bởi tổng Bill có lãi.</w:t>
      </w:r>
    </w:p>
    <w:p>
      <w:r>
        <w:t>Rating BUY/SELL khác currency: quy đổi từng dòng theo FX policy có trace rồi mới tính profit; không cộng trực tiếp nguyên tệ.</w:t>
      </w:r>
    </w:p>
    <w:p>
      <w:pPr>
        <w:pStyle w:val="Heading1"/>
      </w:pPr>
      <w:r>
        <w:t>8. Migration / không hồi tố</w:t>
      </w:r>
    </w:p>
    <w:p>
      <w:r>
        <w:t>Rà dữ liệu Rate Card/Surcharge/Rating/Cost/Revenue hiện có; giữ lịch sử published/financial facts bất biến. Migration mapping loại khoản mục và partner phải idempotent, có báo cáo unmatched.</w:t>
      </w:r>
    </w:p>
    <w:p>
      <w:r>
        <w:t>Không suy đoán VAT cho dữ liệu cũ; không rewrite historical Rating. Không tự chuyển Expected sang Actual. Kiểm tra dữ liệu có net/gross trước khi kích hoạt VAT.</w:t>
      </w:r>
    </w:p>
    <w:p>
      <w:r>
        <w:t>Đề nghị DEV triển khai sau khi hoàn thành đánh giá tác động schema, historical values, quyền sửa supplier và xác nhận cách xử lý các trường hợp giá đã bao gồm VAT trong dữ liệu cũ.</w:t>
      </w:r>
    </w:p>
    <w:p>
      <w:pPr>
        <w:pStyle w:val="Heading1"/>
      </w:pPr>
      <w:r>
        <w:t>9. Acceptance / phạm vi kiểm thử</w:t>
      </w:r>
    </w:p>
    <w:p>
      <w:r>
        <w:t>DEV phải kiểm tra các test case trong Excel kèm theo. Chỉ coi đạt khi các ca Critical/High PASS, bao gồm BUY/SELL cùng PACKAGING, cảnh báo lỗ, supplier khác nhau trên cùng Bill, VAT net/gross, AP/AR, FX, dữ liệu thiếu và lịch sử.</w:t>
      </w:r>
    </w:p>
    <w:p>
      <w:r>
        <w:t>Các giả định kỹ thuật hoặc thiếu dữ liệu lịch sử không được tự biến thành PO-confirmed business rules; ghi rõ vào Issue/Decision Log trước cutover.</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