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LCMS — REPORTING CURRENCY &amp; FX</w:t>
        <w:br/>
        <w:t>ARCHITECTURE / FUNCTIONAL SPECIFICATION</w:t>
      </w:r>
    </w:p>
    <w:p>
      <w:pPr>
        <w:jc w:val="center"/>
      </w:pPr>
      <w:r>
        <w:rPr>
          <w:b/>
          <w:sz w:val="20"/>
        </w:rPr>
        <w:t>Version 1.0 — DEV Change Package — 29/09/2026</w:t>
      </w:r>
    </w:p>
    <w:p>
      <w:r>
        <w:rPr>
          <w:b/>
          <w:sz w:val="19"/>
        </w:rPr>
        <w:t>[PO CONFIRMED / ARCHITECTURE AGREED] — Reporting Currency &amp; FX Direction</w:t>
      </w:r>
    </w:p>
    <w:p>
      <w:pPr>
        <w:pStyle w:val="Heading1"/>
      </w:pPr>
      <w:r>
        <w:t>1. Mục tiêu và phạm vi</w:t>
      </w:r>
    </w:p>
    <w:p>
      <w:r>
        <w:t>Thiết lập một mô hình tiền tệ thống nhất cho LCMS: mọi giao dịch giữ nguyên giá trị nguyên tệ, đồng thời được quy đổi sang Tiền tệ báo cáo của Tenant để tổng hợp, phân tích, lợi nhuận, kiểm soát tài chính và báo cáo. Thay đổi này là cross-system; không phải sửa riêng màn hình Bill.</w:t>
      </w:r>
    </w:p>
    <w:p>
      <w:r>
        <w:t>Áp dụng tối thiểu cho: Rate/Rating, Cost, Revenue, Cost Allocation, Financial Document, AP, AR, Payment, Collection, Adjustment, Write-off, Reconciliation, Financial Control, Financial Close, Dashboard, Reports và các Financial View liên quan.</w:t>
      </w:r>
    </w:p>
    <w:p>
      <w:pPr>
        <w:pStyle w:val="Heading1"/>
      </w:pPr>
      <w:r>
        <w:t>2. Quyết định kiến trúc đã khóa</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tcPr>
          <w:p>
            <w:r>
              <w:t>Rule ID</w:t>
            </w:r>
          </w:p>
        </w:tc>
        <w:tc>
          <w:tcPr>
            <w:tcW w:type="dxa" w:w="5112"/>
          </w:tcPr>
          <w:p>
            <w:r>
              <w:t>Quy tắc</w:t>
            </w:r>
          </w:p>
        </w:tc>
      </w:tr>
      <w:tr>
        <w:trPr>
          <w:cantSplit/>
        </w:trPr>
        <w:tc>
          <w:tcPr>
            <w:tcW w:type="dxa" w:w="5112"/>
            <w:vAlign w:val="center"/>
          </w:tcPr>
          <w:p>
            <w:r>
              <w:t>FX-ARCH-01</w:t>
            </w:r>
          </w:p>
        </w:tc>
        <w:tc>
          <w:tcPr>
            <w:tcW w:type="dxa" w:w="5112"/>
          </w:tcPr>
          <w:p>
            <w:r>
              <w:t>Tiền tệ báo cáo thuộc Tenant/Doanh nghiệp, không thuộc từng User. User có thể có display preference sau này nhưng không thay đổi Reporting Currency chuẩn.</w:t>
            </w:r>
          </w:p>
        </w:tc>
      </w:tr>
      <w:tr>
        <w:trPr>
          <w:cantSplit/>
        </w:trPr>
        <w:tc>
          <w:tcPr>
            <w:tcW w:type="dxa" w:w="5112"/>
            <w:vAlign w:val="center"/>
          </w:tcPr>
          <w:p>
            <w:r>
              <w:t>FX-ARCH-02</w:t>
            </w:r>
          </w:p>
        </w:tc>
        <w:tc>
          <w:tcPr>
            <w:tcW w:type="dxa" w:w="5112"/>
          </w:tcPr>
          <w:p>
            <w:r>
              <w:t>Không hard-code VND. Khi Transaction Currency khác Tenant Reporting Currency thì FX Rate là bắt buộc để tạo Reporting Amount hợp lệ.</w:t>
            </w:r>
          </w:p>
        </w:tc>
      </w:tr>
      <w:tr>
        <w:trPr>
          <w:cantSplit/>
        </w:trPr>
        <w:tc>
          <w:tcPr>
            <w:tcW w:type="dxa" w:w="5112"/>
            <w:vAlign w:val="center"/>
          </w:tcPr>
          <w:p>
            <w:r>
              <w:t>FX-ARCH-03</w:t>
            </w:r>
          </w:p>
        </w:tc>
        <w:tc>
          <w:tcPr>
            <w:tcW w:type="dxa" w:w="5112"/>
          </w:tcPr>
          <w:p>
            <w:r>
              <w:t>Mọi monetary record phải giữ Original Amount + Original Currency. Reporting Amount là giá trị quy đổi, không thay thế nguyên tệ.</w:t>
            </w:r>
          </w:p>
        </w:tc>
      </w:tr>
      <w:tr>
        <w:trPr>
          <w:cantSplit/>
        </w:trPr>
        <w:tc>
          <w:tcPr>
            <w:tcW w:type="dxa" w:w="5112"/>
            <w:vAlign w:val="center"/>
          </w:tcPr>
          <w:p>
            <w:r>
              <w:t>FX-ARCH-04</w:t>
            </w:r>
          </w:p>
        </w:tc>
        <w:tc>
          <w:tcPr>
            <w:tcW w:type="dxa" w:w="5112"/>
          </w:tcPr>
          <w:p>
            <w:r>
              <w:t>Nếu Transaction Currency = Reporting Currency thì FX Rate = 1 và không yêu cầu người dùng nhập tỷ giá.</w:t>
            </w:r>
          </w:p>
        </w:tc>
      </w:tr>
      <w:tr>
        <w:trPr>
          <w:cantSplit/>
        </w:trPr>
        <w:tc>
          <w:tcPr>
            <w:tcW w:type="dxa" w:w="5112"/>
            <w:vAlign w:val="center"/>
          </w:tcPr>
          <w:p>
            <w:r>
              <w:t>FX-ARCH-05</w:t>
            </w:r>
          </w:p>
        </w:tc>
        <w:tc>
          <w:tcPr>
            <w:tcW w:type="dxa" w:w="5112"/>
          </w:tcPr>
          <w:p>
            <w:r>
              <w:t>Tỷ giá có thể lấy tự động từ nguồn tích hợp được cấu hình (giai đoạn đầu hỗ trợ Vietcombank) hoặc nhập thủ công.</w:t>
            </w:r>
          </w:p>
        </w:tc>
      </w:tr>
      <w:tr>
        <w:trPr>
          <w:cantSplit/>
        </w:trPr>
        <w:tc>
          <w:tcPr>
            <w:tcW w:type="dxa" w:w="5112"/>
            <w:vAlign w:val="center"/>
          </w:tcPr>
          <w:p>
            <w:r>
              <w:t>FX-ARCH-06</w:t>
            </w:r>
          </w:p>
        </w:tc>
        <w:tc>
          <w:tcPr>
            <w:tcW w:type="dxa" w:w="5112"/>
          </w:tcPr>
          <w:p>
            <w:r>
              <w:t>Nếu tỷ giá tự động bị người dùng sửa, nguồn phải chuyển thành Manual/Override và lưu audit; Tenant có thể cấu hình bắt buộc lý do.</w:t>
            </w:r>
          </w:p>
        </w:tc>
      </w:tr>
      <w:tr>
        <w:trPr>
          <w:cantSplit/>
        </w:trPr>
        <w:tc>
          <w:tcPr>
            <w:tcW w:type="dxa" w:w="5112"/>
            <w:vAlign w:val="center"/>
          </w:tcPr>
          <w:p>
            <w:r>
              <w:t>FX-ARCH-07</w:t>
            </w:r>
          </w:p>
        </w:tc>
        <w:tc>
          <w:tcPr>
            <w:tcW w:type="dxa" w:w="5112"/>
          </w:tcPr>
          <w:p>
            <w:r>
              <w:t>FX phải được snapshot tại thời điểm nghiệp vụ theo FX Policy. Thay đổi tỷ giá nguồn sau này không được âm thầm làm thay đổi Reporting Amount lịch sử.</w:t>
            </w:r>
          </w:p>
        </w:tc>
      </w:tr>
      <w:tr>
        <w:trPr>
          <w:cantSplit/>
        </w:trPr>
        <w:tc>
          <w:tcPr>
            <w:tcW w:type="dxa" w:w="5112"/>
            <w:vAlign w:val="center"/>
          </w:tcPr>
          <w:p>
            <w:r>
              <w:t>FX-ARCH-08</w:t>
            </w:r>
          </w:p>
        </w:tc>
        <w:tc>
          <w:tcPr>
            <w:tcW w:type="dxa" w:w="5112"/>
          </w:tcPr>
          <w:p>
            <w:r>
              <w:t>Không cộng trực tiếp các amount khác currency. Phải quy đổi từng record sang Reporting Currency rồi mới aggregate.</w:t>
            </w:r>
          </w:p>
        </w:tc>
      </w:tr>
      <w:tr>
        <w:trPr>
          <w:cantSplit/>
        </w:trPr>
        <w:tc>
          <w:tcPr>
            <w:tcW w:type="dxa" w:w="5112"/>
            <w:vAlign w:val="center"/>
          </w:tcPr>
          <w:p>
            <w:r>
              <w:t>FX-ARCH-09</w:t>
            </w:r>
          </w:p>
        </w:tc>
        <w:tc>
          <w:tcPr>
            <w:tcW w:type="dxa" w:w="5112"/>
          </w:tcPr>
          <w:p>
            <w:r>
              <w:t>Thiếu FX không được coi là 0, không được tự dùng tỷ giá mặc định im lặng và không được đưa record vào tổng quy đổi như một giá trị hợp lệ.</w:t>
            </w:r>
          </w:p>
        </w:tc>
      </w:tr>
      <w:tr>
        <w:trPr>
          <w:cantSplit/>
        </w:trPr>
        <w:tc>
          <w:tcPr>
            <w:tcW w:type="dxa" w:w="5112"/>
            <w:vAlign w:val="center"/>
          </w:tcPr>
          <w:p>
            <w:r>
              <w:t>FX-ARCH-10</w:t>
            </w:r>
          </w:p>
        </w:tc>
        <w:tc>
          <w:tcPr>
            <w:tcW w:type="dxa" w:w="5112"/>
          </w:tcPr>
          <w:p>
            <w:r>
              <w:t>Bill Financial Overview và các màn hình tổng hợp mặc định hiển thị Reporting Currency duy nhất; nguyên tệ/FX/source phải truy vết được bằng hover/click/drill-down.</w:t>
            </w:r>
          </w:p>
        </w:tc>
      </w:tr>
      <w:tr>
        <w:trPr>
          <w:cantSplit/>
        </w:trPr>
        <w:tc>
          <w:tcPr>
            <w:tcW w:type="dxa" w:w="5112"/>
            <w:vAlign w:val="center"/>
          </w:tcPr>
          <w:p>
            <w:r>
              <w:t>FX-ARCH-11</w:t>
            </w:r>
          </w:p>
        </w:tc>
        <w:tc>
          <w:tcPr>
            <w:tcW w:type="dxa" w:w="5112"/>
          </w:tcPr>
          <w:p>
            <w:r>
              <w:t>AP/AR/Payment/Collection vẫn giữ monetary identity nguyên tệ để settlement, matching và FX difference hoạt động đúng.</w:t>
            </w:r>
          </w:p>
        </w:tc>
      </w:tr>
      <w:tr>
        <w:trPr>
          <w:cantSplit/>
        </w:trPr>
        <w:tc>
          <w:tcPr>
            <w:tcW w:type="dxa" w:w="5112"/>
            <w:vAlign w:val="center"/>
          </w:tcPr>
          <w:p>
            <w:r>
              <w:t>FX-ARCH-12</w:t>
            </w:r>
          </w:p>
        </w:tc>
        <w:tc>
          <w:tcPr>
            <w:tcW w:type="dxa" w:w="5112"/>
          </w:tcPr>
          <w:p>
            <w:r>
              <w:t>Historical reporting/Financial Close phải sử dụng FX snapshot/policy phù hợp với thời điểm; không dùng tỷ giá hiện tại để rewrite lịch sử.</w:t>
            </w:r>
          </w:p>
        </w:tc>
      </w:tr>
    </w:tbl>
    <w:p>
      <w:pPr>
        <w:pStyle w:val="Heading1"/>
      </w:pPr>
      <w:r>
        <w:t>3. Mô hình dữ liệu tiền tệ chuẩn</w:t>
      </w:r>
    </w:p>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tcPr>
          <w:p>
            <w:r>
              <w:t>Field</w:t>
            </w:r>
          </w:p>
        </w:tc>
        <w:tc>
          <w:tcPr>
            <w:tcW w:type="dxa" w:w="2556"/>
          </w:tcPr>
          <w:p>
            <w:r>
              <w:t>Tên nghiệp vụ</w:t>
            </w:r>
          </w:p>
        </w:tc>
        <w:tc>
          <w:tcPr>
            <w:tcW w:type="dxa" w:w="2556"/>
          </w:tcPr>
          <w:p>
            <w:r>
              <w:t>Yêu cầu</w:t>
            </w:r>
          </w:p>
        </w:tc>
        <w:tc>
          <w:tcPr>
            <w:tcW w:type="dxa" w:w="2556"/>
          </w:tcPr>
          <w:p>
            <w:r>
              <w:t>Mô tả</w:t>
            </w:r>
          </w:p>
        </w:tc>
      </w:tr>
      <w:tr>
        <w:trPr>
          <w:cantSplit/>
        </w:trPr>
        <w:tc>
          <w:tcPr>
            <w:tcW w:type="dxa" w:w="2556"/>
          </w:tcPr>
          <w:p>
            <w:r>
              <w:t>original_amount</w:t>
            </w:r>
          </w:p>
        </w:tc>
        <w:tc>
          <w:tcPr>
            <w:tcW w:type="dxa" w:w="2556"/>
          </w:tcPr>
          <w:p>
            <w:r>
              <w:t>Số tiền nguyên tệ</w:t>
            </w:r>
          </w:p>
        </w:tc>
        <w:tc>
          <w:tcPr>
            <w:tcW w:type="dxa" w:w="2556"/>
          </w:tcPr>
          <w:p>
            <w:r>
              <w:t>Bắt buộc</w:t>
            </w:r>
          </w:p>
        </w:tc>
        <w:tc>
          <w:tcPr>
            <w:tcW w:type="dxa" w:w="2556"/>
          </w:tcPr>
          <w:p>
            <w:r>
              <w:t>Giá trị giao dịch trước quy đổi.</w:t>
            </w:r>
          </w:p>
        </w:tc>
      </w:tr>
      <w:tr>
        <w:trPr>
          <w:cantSplit/>
        </w:trPr>
        <w:tc>
          <w:tcPr>
            <w:tcW w:type="dxa" w:w="2556"/>
          </w:tcPr>
          <w:p>
            <w:r>
              <w:t>original_currency_code</w:t>
            </w:r>
          </w:p>
        </w:tc>
        <w:tc>
          <w:tcPr>
            <w:tcW w:type="dxa" w:w="2556"/>
          </w:tcPr>
          <w:p>
            <w:r>
              <w:t>Mã nguyên tệ</w:t>
            </w:r>
          </w:p>
        </w:tc>
        <w:tc>
          <w:tcPr>
            <w:tcW w:type="dxa" w:w="2556"/>
          </w:tcPr>
          <w:p>
            <w:r>
              <w:t>Bắt buộc</w:t>
            </w:r>
          </w:p>
        </w:tc>
        <w:tc>
          <w:tcPr>
            <w:tcW w:type="dxa" w:w="2556"/>
          </w:tcPr>
          <w:p>
            <w:r>
              <w:t>ISO currency code, ví dụ USD/VND/EUR.</w:t>
            </w:r>
          </w:p>
        </w:tc>
      </w:tr>
      <w:tr>
        <w:trPr>
          <w:cantSplit/>
        </w:trPr>
        <w:tc>
          <w:tcPr>
            <w:tcW w:type="dxa" w:w="2556"/>
          </w:tcPr>
          <w:p>
            <w:r>
              <w:t>reporting_currency_code</w:t>
            </w:r>
          </w:p>
        </w:tc>
        <w:tc>
          <w:tcPr>
            <w:tcW w:type="dxa" w:w="2556"/>
          </w:tcPr>
          <w:p>
            <w:r>
              <w:t>Tiền tệ báo cáo</w:t>
            </w:r>
          </w:p>
        </w:tc>
        <w:tc>
          <w:tcPr>
            <w:tcW w:type="dxa" w:w="2556"/>
          </w:tcPr>
          <w:p>
            <w:r>
              <w:t>Bắt buộc</w:t>
            </w:r>
          </w:p>
        </w:tc>
        <w:tc>
          <w:tcPr>
            <w:tcW w:type="dxa" w:w="2556"/>
          </w:tcPr>
          <w:p>
            <w:r>
              <w:t>Snapshot từ cấu hình Tenant tại thời điểm ghi nhận.</w:t>
            </w:r>
          </w:p>
        </w:tc>
      </w:tr>
      <w:tr>
        <w:trPr>
          <w:cantSplit/>
        </w:trPr>
        <w:tc>
          <w:tcPr>
            <w:tcW w:type="dxa" w:w="2556"/>
          </w:tcPr>
          <w:p>
            <w:r>
              <w:t>fx_rate</w:t>
            </w:r>
          </w:p>
        </w:tc>
        <w:tc>
          <w:tcPr>
            <w:tcW w:type="dxa" w:w="2556"/>
          </w:tcPr>
          <w:p>
            <w:r>
              <w:t>Tỷ giá áp dụng</w:t>
            </w:r>
          </w:p>
        </w:tc>
        <w:tc>
          <w:tcPr>
            <w:tcW w:type="dxa" w:w="2556"/>
          </w:tcPr>
          <w:p>
            <w:r>
              <w:t>Có điều kiện</w:t>
            </w:r>
          </w:p>
        </w:tc>
        <w:tc>
          <w:tcPr>
            <w:tcW w:type="dxa" w:w="2556"/>
          </w:tcPr>
          <w:p>
            <w:r>
              <w:t>=1 nếu cùng currency; bắt buộc nếu khác currency.</w:t>
            </w:r>
          </w:p>
        </w:tc>
      </w:tr>
      <w:tr>
        <w:trPr>
          <w:cantSplit/>
        </w:trPr>
        <w:tc>
          <w:tcPr>
            <w:tcW w:type="dxa" w:w="2556"/>
          </w:tcPr>
          <w:p>
            <w:r>
              <w:t>fx_source_type</w:t>
            </w:r>
          </w:p>
        </w:tc>
        <w:tc>
          <w:tcPr>
            <w:tcW w:type="dxa" w:w="2556"/>
          </w:tcPr>
          <w:p>
            <w:r>
              <w:t>Loại nguồn tỷ giá</w:t>
            </w:r>
          </w:p>
        </w:tc>
        <w:tc>
          <w:tcPr>
            <w:tcW w:type="dxa" w:w="2556"/>
          </w:tcPr>
          <w:p>
            <w:r>
              <w:t>Bắt buộc khi FX≠1</w:t>
            </w:r>
          </w:p>
        </w:tc>
        <w:tc>
          <w:tcPr>
            <w:tcW w:type="dxa" w:w="2556"/>
          </w:tcPr>
          <w:p>
            <w:r>
              <w:t>AUTO_PROVIDER / MANUAL / OVERRIDE / POLICY.</w:t>
            </w:r>
          </w:p>
        </w:tc>
      </w:tr>
      <w:tr>
        <w:trPr>
          <w:cantSplit/>
        </w:trPr>
        <w:tc>
          <w:tcPr>
            <w:tcW w:type="dxa" w:w="2556"/>
          </w:tcPr>
          <w:p>
            <w:r>
              <w:t>fx_source_name</w:t>
            </w:r>
          </w:p>
        </w:tc>
        <w:tc>
          <w:tcPr>
            <w:tcW w:type="dxa" w:w="2556"/>
          </w:tcPr>
          <w:p>
            <w:r>
              <w:t>Tên nguồn</w:t>
            </w:r>
          </w:p>
        </w:tc>
        <w:tc>
          <w:tcPr>
            <w:tcW w:type="dxa" w:w="2556"/>
          </w:tcPr>
          <w:p>
            <w:r>
              <w:t>Có điều kiện</w:t>
            </w:r>
          </w:p>
        </w:tc>
        <w:tc>
          <w:tcPr>
            <w:tcW w:type="dxa" w:w="2556"/>
          </w:tcPr>
          <w:p>
            <w:r>
              <w:t>Ví dụ Vietcombank hoặc tên nguồn cấu hình.</w:t>
            </w:r>
          </w:p>
        </w:tc>
      </w:tr>
      <w:tr>
        <w:trPr>
          <w:cantSplit/>
        </w:trPr>
        <w:tc>
          <w:tcPr>
            <w:tcW w:type="dxa" w:w="2556"/>
          </w:tcPr>
          <w:p>
            <w:r>
              <w:t>fx_rate_date</w:t>
            </w:r>
          </w:p>
        </w:tc>
        <w:tc>
          <w:tcPr>
            <w:tcW w:type="dxa" w:w="2556"/>
          </w:tcPr>
          <w:p>
            <w:r>
              <w:t>Ngày/giờ tỷ giá</w:t>
            </w:r>
          </w:p>
        </w:tc>
        <w:tc>
          <w:tcPr>
            <w:tcW w:type="dxa" w:w="2556"/>
          </w:tcPr>
          <w:p>
            <w:r>
              <w:t>Bắt buộc khi FX≠1</w:t>
            </w:r>
          </w:p>
        </w:tc>
        <w:tc>
          <w:tcPr>
            <w:tcW w:type="dxa" w:w="2556"/>
          </w:tcPr>
          <w:p>
            <w:r>
              <w:t>Thời điểm tỷ giá có hiệu lực.</w:t>
            </w:r>
          </w:p>
        </w:tc>
      </w:tr>
      <w:tr>
        <w:trPr>
          <w:cantSplit/>
        </w:trPr>
        <w:tc>
          <w:tcPr>
            <w:tcW w:type="dxa" w:w="2556"/>
          </w:tcPr>
          <w:p>
            <w:r>
              <w:t>fx_rate_type</w:t>
            </w:r>
          </w:p>
        </w:tc>
        <w:tc>
          <w:tcPr>
            <w:tcW w:type="dxa" w:w="2556"/>
          </w:tcPr>
          <w:p>
            <w:r>
              <w:t>Loại tỷ giá</w:t>
            </w:r>
          </w:p>
        </w:tc>
        <w:tc>
          <w:tcPr>
            <w:tcW w:type="dxa" w:w="2556"/>
          </w:tcPr>
          <w:p>
            <w:r>
              <w:t>Theo policy</w:t>
            </w:r>
          </w:p>
        </w:tc>
        <w:tc>
          <w:tcPr>
            <w:tcW w:type="dxa" w:w="2556"/>
          </w:tcPr>
          <w:p>
            <w:r>
              <w:t>Mua/Bán/Chuyển khoản/Nội bộ... theo cấu hình.</w:t>
            </w:r>
          </w:p>
        </w:tc>
      </w:tr>
      <w:tr>
        <w:trPr>
          <w:cantSplit/>
        </w:trPr>
        <w:tc>
          <w:tcPr>
            <w:tcW w:type="dxa" w:w="2556"/>
          </w:tcPr>
          <w:p>
            <w:r>
              <w:t>fx_snapshot_id</w:t>
            </w:r>
          </w:p>
        </w:tc>
        <w:tc>
          <w:tcPr>
            <w:tcW w:type="dxa" w:w="2556"/>
          </w:tcPr>
          <w:p>
            <w:r>
              <w:t>Snapshot tỷ giá</w:t>
            </w:r>
          </w:p>
        </w:tc>
        <w:tc>
          <w:tcPr>
            <w:tcW w:type="dxa" w:w="2556"/>
          </w:tcPr>
          <w:p>
            <w:r>
              <w:t>Khuyến nghị bắt buộc</w:t>
            </w:r>
          </w:p>
        </w:tc>
        <w:tc>
          <w:tcPr>
            <w:tcW w:type="dxa" w:w="2556"/>
          </w:tcPr>
          <w:p>
            <w:r>
              <w:t>Trace tới snapshot bất biến.</w:t>
            </w:r>
          </w:p>
        </w:tc>
      </w:tr>
      <w:tr>
        <w:trPr>
          <w:cantSplit/>
        </w:trPr>
        <w:tc>
          <w:tcPr>
            <w:tcW w:type="dxa" w:w="2556"/>
          </w:tcPr>
          <w:p>
            <w:r>
              <w:t>reporting_amount</w:t>
            </w:r>
          </w:p>
        </w:tc>
        <w:tc>
          <w:tcPr>
            <w:tcW w:type="dxa" w:w="2556"/>
          </w:tcPr>
          <w:p>
            <w:r>
              <w:t>Số tiền báo cáo</w:t>
            </w:r>
          </w:p>
        </w:tc>
        <w:tc>
          <w:tcPr>
            <w:tcW w:type="dxa" w:w="2556"/>
          </w:tcPr>
          <w:p>
            <w:r>
              <w:t>Bắt buộc khi quy đổi được</w:t>
            </w:r>
          </w:p>
        </w:tc>
        <w:tc>
          <w:tcPr>
            <w:tcW w:type="dxa" w:w="2556"/>
          </w:tcPr>
          <w:p>
            <w:r>
              <w:t>original_amount × fx_rate theo hướng quy đổi chuẩn.</w:t>
            </w:r>
          </w:p>
        </w:tc>
      </w:tr>
      <w:tr>
        <w:trPr>
          <w:cantSplit/>
        </w:trPr>
        <w:tc>
          <w:tcPr>
            <w:tcW w:type="dxa" w:w="2556"/>
          </w:tcPr>
          <w:p>
            <w:r>
              <w:t>fx_override_reason</w:t>
            </w:r>
          </w:p>
        </w:tc>
        <w:tc>
          <w:tcPr>
            <w:tcW w:type="dxa" w:w="2556"/>
          </w:tcPr>
          <w:p>
            <w:r>
              <w:t>Lý do ghi đè</w:t>
            </w:r>
          </w:p>
        </w:tc>
        <w:tc>
          <w:tcPr>
            <w:tcW w:type="dxa" w:w="2556"/>
          </w:tcPr>
          <w:p>
            <w:r>
              <w:t>Có điều kiện</w:t>
            </w:r>
          </w:p>
        </w:tc>
        <w:tc>
          <w:tcPr>
            <w:tcW w:type="dxa" w:w="2556"/>
          </w:tcPr>
          <w:p>
            <w:r>
              <w:t>Bắt buộc nếu policy Tenant yêu cầu.</w:t>
            </w:r>
          </w:p>
        </w:tc>
      </w:tr>
      <w:tr>
        <w:trPr>
          <w:cantSplit/>
        </w:trPr>
        <w:tc>
          <w:tcPr>
            <w:tcW w:type="dxa" w:w="2556"/>
          </w:tcPr>
          <w:p>
            <w:r>
              <w:t>fx_actor / fx_timestamp</w:t>
            </w:r>
          </w:p>
        </w:tc>
        <w:tc>
          <w:tcPr>
            <w:tcW w:type="dxa" w:w="2556"/>
          </w:tcPr>
          <w:p>
            <w:r>
              <w:t>Audit</w:t>
            </w:r>
          </w:p>
        </w:tc>
        <w:tc>
          <w:tcPr>
            <w:tcW w:type="dxa" w:w="2556"/>
          </w:tcPr>
          <w:p>
            <w:r>
              <w:t>Bắt buộc</w:t>
            </w:r>
          </w:p>
        </w:tc>
        <w:tc>
          <w:tcPr>
            <w:tcW w:type="dxa" w:w="2556"/>
          </w:tcPr>
          <w:p>
            <w:r>
              <w:t>Ai/luồng nào áp dụng hoặc override và khi nào.</w:t>
            </w:r>
          </w:p>
        </w:tc>
      </w:tr>
    </w:tbl>
    <w:p>
      <w:pPr>
        <w:pStyle w:val="Heading1"/>
      </w:pPr>
      <w:r>
        <w:t>4. FX Source &amp; Policy</w:t>
      </w:r>
    </w:p>
    <w:p>
      <w:r>
        <w:t>Nguồn tự động phải được thiết kế theo provider abstraction. Vietcombank là provider hỗ trợ ban đầu, không phải dependency hard-code của domain.</w:t>
      </w:r>
    </w:p>
    <w:p>
      <w:pPr/>
      <w:r>
        <w:t>Tenant cấu hình Reporting Currency, provider mặc định, rate type, thời điểm lấy tỷ giá, quy tắc fallback và quyền manual override.</w:t>
      </w:r>
    </w:p>
    <w:p>
      <w:pPr/>
      <w:r>
        <w:t>Khi gọi provider thất bại: hiển thị trạng thái Thiếu tỷ giá/Không lấy được tỷ giá; cho phép nhập tay nếu permission/policy cho phép.</w:t>
      </w:r>
    </w:p>
    <w:p>
      <w:pPr/>
      <w:r>
        <w:t>Không tự fallback sang FX=1 khi khác currency.</w:t>
      </w:r>
    </w:p>
    <w:p>
      <w:pPr/>
      <w:r>
        <w:t>Manual/Override phải lưu old value/new value/source/actor/time; lý do theo policy.</w:t>
      </w:r>
    </w:p>
    <w:p>
      <w:pPr/>
      <w:r>
        <w:t>Published/closed financial facts không được bị recalculated ngầm khi provider rate thay đổi.</w:t>
      </w:r>
    </w:p>
    <w:p>
      <w:pPr>
        <w:pStyle w:val="Heading1"/>
        <w:pageBreakBefore/>
      </w:pPr>
      <w:r>
        <w:t>5. UX chuẩn khi nhập tiền</w:t>
      </w:r>
    </w:p>
    <w:p>
      <w:r>
        <w:t>Khi người dùng nhập một khoản tiền, UI phải phản ứng theo Transaction Currency so với Reporting Currency:</w:t>
      </w:r>
    </w:p>
    <w:tbl>
      <w:tblPr>
        <w:tblStyle w:val="TableGrid"/>
        <w:tblW w:type="auto" w:w="0"/>
        <w:tblLook w:firstColumn="1" w:firstRow="1" w:lastColumn="0" w:lastRow="0" w:noHBand="0" w:noVBand="1" w:val="04A0"/>
      </w:tblPr>
      <w:tblGrid>
        <w:gridCol w:w="5112"/>
        <w:gridCol w:w="5112"/>
      </w:tblGrid>
      <w:tr>
        <w:trPr>
          <w:cantSplit/>
        </w:trPr>
        <w:tc>
          <w:tcPr>
            <w:tcW w:type="dxa" w:w="5112"/>
          </w:tcPr>
          <w:p>
            <w:r>
              <w:t>Tình huống</w:t>
            </w:r>
          </w:p>
        </w:tc>
        <w:tc>
          <w:tcPr>
            <w:tcW w:type="dxa" w:w="5112"/>
          </w:tcPr>
          <w:p>
            <w:r>
              <w:t>Hành vi</w:t>
            </w:r>
          </w:p>
        </w:tc>
      </w:tr>
      <w:tr>
        <w:trPr>
          <w:cantSplit/>
        </w:trPr>
        <w:tc>
          <w:tcPr>
            <w:tcW w:type="dxa" w:w="5112"/>
          </w:tcPr>
          <w:p>
            <w:r>
              <w:t>Cùng Reporting Currency</w:t>
            </w:r>
          </w:p>
        </w:tc>
        <w:tc>
          <w:tcPr>
            <w:tcW w:type="dxa" w:w="5112"/>
          </w:tcPr>
          <w:p>
            <w:r>
              <w:t>Ẩn/readonly FX; FX=1; Reporting Amount = Original Amount.</w:t>
            </w:r>
          </w:p>
        </w:tc>
      </w:tr>
      <w:tr>
        <w:trPr>
          <w:cantSplit/>
        </w:trPr>
        <w:tc>
          <w:tcPr>
            <w:tcW w:type="dxa" w:w="5112"/>
          </w:tcPr>
          <w:p>
            <w:r>
              <w:t>Khác Reporting Currency</w:t>
            </w:r>
          </w:p>
        </w:tc>
        <w:tc>
          <w:tcPr>
            <w:tcW w:type="dxa" w:w="5112"/>
          </w:tcPr>
          <w:p>
            <w:r>
              <w:t>Hiện FX Rate, nguồn, ngày tỷ giá; cho phép Auto hoặc Manual theo policy; hiển thị Reporting Amount preview.</w:t>
            </w:r>
          </w:p>
        </w:tc>
      </w:tr>
      <w:tr>
        <w:trPr>
          <w:cantSplit/>
        </w:trPr>
        <w:tc>
          <w:tcPr>
            <w:tcW w:type="dxa" w:w="5112"/>
          </w:tcPr>
          <w:p>
            <w:r>
              <w:t>Auto provider thành công</w:t>
            </w:r>
          </w:p>
        </w:tc>
        <w:tc>
          <w:tcPr>
            <w:tcW w:type="dxa" w:w="5112"/>
          </w:tcPr>
          <w:p>
            <w:r>
              <w:t>Điền FX + Source + Date; người dùng có quyền có thể override.</w:t>
            </w:r>
          </w:p>
        </w:tc>
      </w:tr>
      <w:tr>
        <w:trPr>
          <w:cantSplit/>
        </w:trPr>
        <w:tc>
          <w:tcPr>
            <w:tcW w:type="dxa" w:w="5112"/>
          </w:tcPr>
          <w:p>
            <w:r>
              <w:t>Người dùng sửa FX auto</w:t>
            </w:r>
          </w:p>
        </w:tc>
        <w:tc>
          <w:tcPr>
            <w:tcW w:type="dxa" w:w="5112"/>
          </w:tcPr>
          <w:p>
            <w:r>
              <w:t>Đổi trạng thái sang Manual/Override; ghi audit; hỏi lý do nếu policy bật.</w:t>
            </w:r>
          </w:p>
        </w:tc>
      </w:tr>
      <w:tr>
        <w:trPr>
          <w:cantSplit/>
        </w:trPr>
        <w:tc>
          <w:tcPr>
            <w:tcW w:type="dxa" w:w="5112"/>
          </w:tcPr>
          <w:p>
            <w:r>
              <w:t>Thiếu FX</w:t>
            </w:r>
          </w:p>
        </w:tc>
        <w:tc>
          <w:tcPr>
            <w:tcW w:type="dxa" w:w="5112"/>
          </w:tcPr>
          <w:p>
            <w:r>
              <w:t>Không cho record được coi là fully convertible; hiển thị cảnh báo rõ; không đưa vào tổng Reporting Amount như 0.</w:t>
            </w:r>
          </w:p>
        </w:tc>
      </w:tr>
    </w:tbl>
    <w:p>
      <w:pPr>
        <w:pStyle w:val="Heading1"/>
      </w:pPr>
      <w:r>
        <w:t>6. Bill Financial Overview</w:t>
      </w:r>
    </w:p>
    <w:p>
      <w:r>
        <w:t>Tổng quan tài chính Bill mặc định chỉ hiển thị số liệu bằng Reporting Currency của Tenant. Không tạo các khối USD/VND song song ở tầng tổng quan. Original Currency vẫn tồn tại trong transaction và có thể drill-down.</w:t>
      </w:r>
    </w:p>
    <w:p>
      <w:r>
        <w:t>Ví dụ hiển thị: Doanh thu 740.000 VND; Chi phí 493.600 VND; Lợi nhuận 246.400 VND; Margin 33,30%.</w:t>
      </w:r>
    </w:p>
    <w:p>
      <w:r>
        <w:t>Hover/click trên số đã quy đổi phải cho phép truy vết các thành phần, ví dụ: 10 USD × 24.000 = 240.000 VND; Source; FX Date; transaction reference. Với aggregate nhiều dòng, click/popover phải xem được danh sách cấu thành thay vì nhồi toàn bộ vào tooltip.</w:t>
      </w:r>
    </w:p>
    <w:p>
      <w:r>
        <w:t>Margin xuyên nhiều nguyên tệ chỉ được tính sau khi Revenue và Cost đã quy đổi sang cùng Reporting Currency. Không tạo một margin tổng bằng cách cộng trực tiếp nguyên tệ.</w:t>
      </w:r>
    </w:p>
    <w:p>
      <w:pPr>
        <w:pStyle w:val="Heading1"/>
      </w:pPr>
      <w:r>
        <w:t>7. Quy tắc theo đối tượng</w:t>
      </w:r>
    </w:p>
    <w:tbl>
      <w:tblPr>
        <w:tblStyle w:val="TableGrid"/>
        <w:tblW w:type="auto" w:w="0"/>
        <w:tblLook w:firstColumn="1" w:firstRow="1" w:lastColumn="0" w:lastRow="0" w:noHBand="0" w:noVBand="1" w:val="04A0"/>
      </w:tblPr>
      <w:tblGrid>
        <w:gridCol w:w="5112"/>
        <w:gridCol w:w="5112"/>
      </w:tblGrid>
      <w:tr>
        <w:trPr>
          <w:cantSplit/>
        </w:trPr>
        <w:tc>
          <w:tcPr>
            <w:tcW w:type="dxa" w:w="5112"/>
          </w:tcPr>
          <w:p>
            <w:r>
              <w:t>Đối tượng</w:t>
            </w:r>
          </w:p>
        </w:tc>
        <w:tc>
          <w:tcPr>
            <w:tcW w:type="dxa" w:w="5112"/>
          </w:tcPr>
          <w:p>
            <w:r>
              <w:t>Yêu cầu</w:t>
            </w:r>
          </w:p>
        </w:tc>
      </w:tr>
      <w:tr>
        <w:trPr>
          <w:cantSplit/>
        </w:trPr>
        <w:tc>
          <w:tcPr>
            <w:tcW w:type="dxa" w:w="5112"/>
          </w:tcPr>
          <w:p>
            <w:r>
              <w:t>Rate Card / Rating</w:t>
            </w:r>
          </w:p>
        </w:tc>
        <w:tc>
          <w:tcPr>
            <w:tcW w:type="dxa" w:w="5112"/>
          </w:tcPr>
          <w:p>
            <w:r>
              <w:t>Rate Card có thể giữ currency báo giá. Rating result giữ nguyên tệ và Reporting Amount. Rerating tạo rating mới; không rewrite rating lịch sử.</w:t>
            </w:r>
          </w:p>
        </w:tc>
      </w:tr>
      <w:tr>
        <w:trPr>
          <w:cantSplit/>
        </w:trPr>
        <w:tc>
          <w:tcPr>
            <w:tcW w:type="dxa" w:w="5112"/>
          </w:tcPr>
          <w:p>
            <w:r>
              <w:t>Cost</w:t>
            </w:r>
          </w:p>
        </w:tc>
        <w:tc>
          <w:tcPr>
            <w:tcW w:type="dxa" w:w="5112"/>
          </w:tcPr>
          <w:p>
            <w:r>
              <w:t>Mỗi Cost giữ Original Amount/Currency + FX snapshot + Reporting Amount. Aggregate Cost dùng Reporting Amount.</w:t>
            </w:r>
          </w:p>
        </w:tc>
      </w:tr>
      <w:tr>
        <w:trPr>
          <w:cantSplit/>
        </w:trPr>
        <w:tc>
          <w:tcPr>
            <w:tcW w:type="dxa" w:w="5112"/>
          </w:tcPr>
          <w:p>
            <w:r>
              <w:t>Revenue</w:t>
            </w:r>
          </w:p>
        </w:tc>
        <w:tc>
          <w:tcPr>
            <w:tcW w:type="dxa" w:w="5112"/>
          </w:tcPr>
          <w:p>
            <w:r>
              <w:t>Tương tự Cost; Expected/Confirmed/Actual không bị trộn do quy đổi.</w:t>
            </w:r>
          </w:p>
        </w:tc>
      </w:tr>
      <w:tr>
        <w:trPr>
          <w:cantSplit/>
        </w:trPr>
        <w:tc>
          <w:tcPr>
            <w:tcW w:type="dxa" w:w="5112"/>
          </w:tcPr>
          <w:p>
            <w:r>
              <w:t>Cost Allocation</w:t>
            </w:r>
          </w:p>
        </w:tc>
        <w:tc>
          <w:tcPr>
            <w:tcW w:type="dxa" w:w="5112"/>
          </w:tcPr>
          <w:p>
            <w:r>
              <w:t>Allocation bảo toàn economic amount. Nếu source cost có currency gốc, allocation details phải trace được original và reporting value; rounding phải deterministic.</w:t>
            </w:r>
          </w:p>
        </w:tc>
      </w:tr>
      <w:tr>
        <w:trPr>
          <w:cantSplit/>
        </w:trPr>
        <w:tc>
          <w:tcPr>
            <w:tcW w:type="dxa" w:w="5112"/>
          </w:tcPr>
          <w:p>
            <w:r>
              <w:t>Financial Document</w:t>
            </w:r>
          </w:p>
        </w:tc>
        <w:tc>
          <w:tcPr>
            <w:tcW w:type="dxa" w:w="5112"/>
          </w:tcPr>
          <w:p>
            <w:r>
              <w:t>Document currency giữ nguyên. Matching/reconciliation không được làm mất original currency.</w:t>
            </w:r>
          </w:p>
        </w:tc>
      </w:tr>
      <w:tr>
        <w:trPr>
          <w:cantSplit/>
        </w:trPr>
        <w:tc>
          <w:tcPr>
            <w:tcW w:type="dxa" w:w="5112"/>
          </w:tcPr>
          <w:p>
            <w:r>
              <w:t>AP / AR</w:t>
            </w:r>
          </w:p>
        </w:tc>
        <w:tc>
          <w:tcPr>
            <w:tcW w:type="dxa" w:w="5112"/>
          </w:tcPr>
          <w:p>
            <w:r>
              <w:t>Obligation/receivable giữ nguyên tệ; reporting amount phục vụ tổng hợp. Outstanding nguyên tệ vẫn là canonical cho settlement.</w:t>
            </w:r>
          </w:p>
        </w:tc>
      </w:tr>
      <w:tr>
        <w:trPr>
          <w:cantSplit/>
        </w:trPr>
        <w:tc>
          <w:tcPr>
            <w:tcW w:type="dxa" w:w="5112"/>
          </w:tcPr>
          <w:p>
            <w:r>
              <w:t>Payment / Collection</w:t>
            </w:r>
          </w:p>
        </w:tc>
        <w:tc>
          <w:tcPr>
            <w:tcW w:type="dxa" w:w="5112"/>
          </w:tcPr>
          <w:p>
            <w:r>
              <w:t>Có thể khác currency với AP/AR; phải có settlement FX/matching logic và phát hiện FX difference.</w:t>
            </w:r>
          </w:p>
        </w:tc>
      </w:tr>
      <w:tr>
        <w:trPr>
          <w:cantSplit/>
        </w:trPr>
        <w:tc>
          <w:tcPr>
            <w:tcW w:type="dxa" w:w="5112"/>
          </w:tcPr>
          <w:p>
            <w:r>
              <w:t>Adjustment / Write-off / Reversal</w:t>
            </w:r>
          </w:p>
        </w:tc>
        <w:tc>
          <w:tcPr>
            <w:tcW w:type="dxa" w:w="5112"/>
          </w:tcPr>
          <w:p>
            <w:r>
              <w:t>Giữ currency và FX context phù hợp; không biến settlement/control event thành thay đổi Economic Cost/Revenue.</w:t>
            </w:r>
          </w:p>
        </w:tc>
      </w:tr>
      <w:tr>
        <w:trPr>
          <w:cantSplit/>
        </w:trPr>
        <w:tc>
          <w:tcPr>
            <w:tcW w:type="dxa" w:w="5112"/>
          </w:tcPr>
          <w:p>
            <w:r>
              <w:t>Financial Close</w:t>
            </w:r>
          </w:p>
        </w:tc>
        <w:tc>
          <w:tcPr>
            <w:tcW w:type="dxa" w:w="5112"/>
          </w:tcPr>
          <w:p>
            <w:r>
              <w:t>Snapshot reporting values và FX trace bất biến theo close policy.</w:t>
            </w:r>
          </w:p>
        </w:tc>
      </w:tr>
      <w:tr>
        <w:trPr>
          <w:cantSplit/>
        </w:trPr>
        <w:tc>
          <w:tcPr>
            <w:tcW w:type="dxa" w:w="5112"/>
          </w:tcPr>
          <w:p>
            <w:r>
              <w:t>Dashboard / Reports</w:t>
            </w:r>
          </w:p>
        </w:tc>
        <w:tc>
          <w:tcPr>
            <w:tcW w:type="dxa" w:w="5112"/>
          </w:tcPr>
          <w:p>
            <w:r>
              <w:t>Tổng hợp mặc định theo Reporting Currency; drill-down về original amount/currency/FX.</w:t>
            </w:r>
          </w:p>
        </w:tc>
      </w:tr>
    </w:tbl>
    <w:p>
      <w:pPr>
        <w:pStyle w:val="Heading1"/>
      </w:pPr>
      <w:r>
        <w:t>8. Settlement &amp; FX Difference</w:t>
      </w:r>
    </w:p>
    <w:p>
      <w:r>
        <w:t>Ví dụ AR = 100 USD được ghi nhận với Reporting Amount theo FX snapshot. Khách có thể thanh toán bằng VND hoặc currency khác. LCMS phải giữ nguyên AR currency, payment currency và settlement conversion. Chênh lệch do tỷ giá phải được nhận diện riêng; không được sửa Economic Revenue chỉ để làm cân AP/AR.</w:t>
      </w:r>
    </w:p>
    <w:p>
      <w:r>
        <w:t>[DECISION DEFERRED] Hạch toán chi tiết realized/unrealized FX gain/loss và mapping tài khoản kế toán sẽ được cấu hình ở bước accounting integration nếu phạm vi LCMS cần mở rộng; batch này bắt buộc chuẩn bị dữ liệu và trace để hỗ trợ.</w:t>
      </w:r>
    </w:p>
    <w:p>
      <w:pPr>
        <w:pStyle w:val="Heading1"/>
      </w:pPr>
      <w:r>
        <w:t>9. Validation &amp; Exception</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tcPr>
          <w:p>
            <w:r>
              <w:t>ID</w:t>
            </w:r>
          </w:p>
        </w:tc>
        <w:tc>
          <w:tcPr>
            <w:tcW w:type="dxa" w:w="3408"/>
          </w:tcPr>
          <w:p>
            <w:r>
              <w:t>Ngoại lệ</w:t>
            </w:r>
          </w:p>
        </w:tc>
        <w:tc>
          <w:tcPr>
            <w:tcW w:type="dxa" w:w="3408"/>
          </w:tcPr>
          <w:p>
            <w:r>
              <w:t>Xử lý</w:t>
            </w:r>
          </w:p>
        </w:tc>
      </w:tr>
      <w:tr>
        <w:trPr>
          <w:cantSplit/>
        </w:trPr>
        <w:tc>
          <w:tcPr>
            <w:tcW w:type="dxa" w:w="3408"/>
          </w:tcPr>
          <w:p>
            <w:r>
              <w:t>FX-MISS-01</w:t>
            </w:r>
          </w:p>
        </w:tc>
        <w:tc>
          <w:tcPr>
            <w:tcW w:type="dxa" w:w="3408"/>
          </w:tcPr>
          <w:p>
            <w:r>
              <w:t>Transaction Currency khác Reporting Currency nhưng thiếu FX</w:t>
            </w:r>
          </w:p>
        </w:tc>
        <w:tc>
          <w:tcPr>
            <w:tcW w:type="dxa" w:w="3408"/>
          </w:tcPr>
          <w:p>
            <w:r>
              <w:t>Block trạng thái fully-converted; cảnh báo; không aggregate như 0.</w:t>
            </w:r>
          </w:p>
        </w:tc>
      </w:tr>
      <w:tr>
        <w:trPr>
          <w:cantSplit/>
        </w:trPr>
        <w:tc>
          <w:tcPr>
            <w:tcW w:type="dxa" w:w="3408"/>
          </w:tcPr>
          <w:p>
            <w:r>
              <w:t>FX-SRC-01</w:t>
            </w:r>
          </w:p>
        </w:tc>
        <w:tc>
          <w:tcPr>
            <w:tcW w:type="dxa" w:w="3408"/>
          </w:tcPr>
          <w:p>
            <w:r>
              <w:t>Provider lỗi/timeout</w:t>
            </w:r>
          </w:p>
        </w:tc>
        <w:tc>
          <w:tcPr>
            <w:tcW w:type="dxa" w:w="3408"/>
          </w:tcPr>
          <w:p>
            <w:r>
              <w:t>Không fabricate rate; cho retry/manual nếu được phép.</w:t>
            </w:r>
          </w:p>
        </w:tc>
      </w:tr>
      <w:tr>
        <w:trPr>
          <w:cantSplit/>
        </w:trPr>
        <w:tc>
          <w:tcPr>
            <w:tcW w:type="dxa" w:w="3408"/>
          </w:tcPr>
          <w:p>
            <w:r>
              <w:t>FX-OVR-01</w:t>
            </w:r>
          </w:p>
        </w:tc>
        <w:tc>
          <w:tcPr>
            <w:tcW w:type="dxa" w:w="3408"/>
          </w:tcPr>
          <w:p>
            <w:r>
              <w:t>User sửa tỷ giá provider</w:t>
            </w:r>
          </w:p>
        </w:tc>
        <w:tc>
          <w:tcPr>
            <w:tcW w:type="dxa" w:w="3408"/>
          </w:tcPr>
          <w:p>
            <w:r>
              <w:t>Chuyển Manual/Override + audit + reason theo policy.</w:t>
            </w:r>
          </w:p>
        </w:tc>
      </w:tr>
      <w:tr>
        <w:trPr>
          <w:cantSplit/>
        </w:trPr>
        <w:tc>
          <w:tcPr>
            <w:tcW w:type="dxa" w:w="3408"/>
          </w:tcPr>
          <w:p>
            <w:r>
              <w:t>FX-HIST-01</w:t>
            </w:r>
          </w:p>
        </w:tc>
        <w:tc>
          <w:tcPr>
            <w:tcW w:type="dxa" w:w="3408"/>
          </w:tcPr>
          <w:p>
            <w:r>
              <w:t>Provider rate thay đổi sau transaction</w:t>
            </w:r>
          </w:p>
        </w:tc>
        <w:tc>
          <w:tcPr>
            <w:tcW w:type="dxa" w:w="3408"/>
          </w:tcPr>
          <w:p>
            <w:r>
              <w:t>Không rewrite snapshot/reporting amount lịch sử.</w:t>
            </w:r>
          </w:p>
        </w:tc>
      </w:tr>
      <w:tr>
        <w:trPr>
          <w:cantSplit/>
        </w:trPr>
        <w:tc>
          <w:tcPr>
            <w:tcW w:type="dxa" w:w="3408"/>
          </w:tcPr>
          <w:p>
            <w:r>
              <w:t>FX-AGG-01</w:t>
            </w:r>
          </w:p>
        </w:tc>
        <w:tc>
          <w:tcPr>
            <w:tcW w:type="dxa" w:w="3408"/>
          </w:tcPr>
          <w:p>
            <w:r>
              <w:t>Aggregate chứa record chưa quy đổi</w:t>
            </w:r>
          </w:p>
        </w:tc>
        <w:tc>
          <w:tcPr>
            <w:tcW w:type="dxa" w:w="3408"/>
          </w:tcPr>
          <w:p>
            <w:r>
              <w:t>Hiển thị aggregate chưa hoàn chỉnh và số record bị thiếu FX; không giả vờ tổng đầy đủ.</w:t>
            </w:r>
          </w:p>
        </w:tc>
      </w:tr>
      <w:tr>
        <w:trPr>
          <w:cantSplit/>
        </w:trPr>
        <w:tc>
          <w:tcPr>
            <w:tcW w:type="dxa" w:w="3408"/>
          </w:tcPr>
          <w:p>
            <w:r>
              <w:t>FX-CLOSE-01</w:t>
            </w:r>
          </w:p>
        </w:tc>
        <w:tc>
          <w:tcPr>
            <w:tcW w:type="dxa" w:w="3408"/>
          </w:tcPr>
          <w:p>
            <w:r>
              <w:t>Record thuộc kỳ đã close</w:t>
            </w:r>
          </w:p>
        </w:tc>
        <w:tc>
          <w:tcPr>
            <w:tcW w:type="dxa" w:w="3408"/>
          </w:tcPr>
          <w:p>
            <w:r>
              <w:t>Không recalc trực tiếp; thay đổi phải theo reopen/adjustment policy.</w:t>
            </w:r>
          </w:p>
        </w:tc>
      </w:tr>
    </w:tbl>
    <w:p>
      <w:pPr>
        <w:pStyle w:val="Heading1"/>
      </w:pPr>
      <w:r>
        <w:t>10. Migration / Compatibility</w:t>
      </w:r>
    </w:p>
    <w:p>
      <w:r>
        <w:t>Dữ liệu lịch sử cùng Reporting Currency: backfill FX=1, Reporting Amount=Original Amount nếu currency identity xác định chắc chắn.</w:t>
      </w:r>
    </w:p>
    <w:p>
      <w:r>
        <w:t>Dữ liệu lịch sử khác currency nhưng không có FX snapshot: không tự suy đoán tỷ giá. Đánh dấu Requires FX Migration/Review.</w:t>
      </w:r>
    </w:p>
    <w:p>
      <w:r>
        <w:t>Không dùng tỷ giá hiện tại để backfill lịch sử nếu không có policy/nguồn ngày lịch sử được xác nhận.</w:t>
      </w:r>
    </w:p>
    <w:p>
      <w:r>
        <w:t>UI cũ đang tách USD/VND phải được chuyển sang Reporting Currency summary nhưng vẫn bảo toàn transaction nguyên tệ.</w:t>
      </w:r>
    </w:p>
    <w:p>
      <w:r>
        <w:t>Migration phải idempotent, có audit và báo cáo số record migrated/skipped/exception.</w:t>
      </w:r>
    </w:p>
    <w:p>
      <w:pPr>
        <w:pStyle w:val="Heading1"/>
      </w:pPr>
      <w:r>
        <w:t>11. DEV Acceptance Gate</w:t>
      </w:r>
    </w:p>
    <w:p>
      <w:r>
        <w:t>Batch chỉ được coi là hoàn tất khi toàn bộ Acceptance Criteria Critical/High trong workbook đi kèm PASS; không còn phép cộng trực tiếp đa tiền tệ; không còn silent FX fallback; và mọi aggregate tài chính có trace về original currency + FX snapshot.</w:t>
      </w:r>
    </w:p>
    <w:p>
      <w:r>
        <w:t>Tài liệu đi kèm: LCMS_Reporting_Currency_FX_DEV_Acceptance_UAT_Matrix_v1.0.xlsx</w:t>
      </w:r>
    </w:p>
    <w:p>
      <w:pPr>
        <w:pStyle w:val="Heading1"/>
      </w:pPr>
      <w:r>
        <w:t>12. Ghi nhận regression batch trước</w:t>
      </w:r>
    </w:p>
    <w:p>
      <w:r>
        <w:t>Operational Reference / Rating Context regression: các điểm trọng yếu đã PASS (Edit Bill, source display, system-derived Chargeable Weight, AIR volumetric rule, Confirm ≠ Override, context change invalidates confirmation, Rating Readiness). RERATE-01 chưa kiểm chứng đầy đủ do Bill test chưa có Rate Card phù hợp; không chặn batch FX.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DEV Handover — 29/09/2026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LCMS — Reporting Currency &amp; FX Change Package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