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LCMS — STANDALONE COMMERCIAL PRODUCT</w:t>
        <w:br/>
        <w:t>ARCHITECTURE ADDENDUM v1.0</w:t>
      </w:r>
    </w:p>
    <w:p>
      <w:pPr>
        <w:jc w:val="center"/>
      </w:pPr>
      <w:r>
        <w:rPr>
          <w:b/>
        </w:rPr>
        <w:t>Bổ sung kiến trúc &amp; đặc tả điều chỉnh cho DEV • D01–D12</w:t>
      </w:r>
    </w:p>
    <w:p>
      <w:pPr>
        <w:pStyle w:val="Heading1"/>
      </w:pPr>
      <w:r>
        <w:t>1. Mục tiêu và trạng thái</w:t>
      </w:r>
    </w:p>
    <w:p>
      <w:r>
        <w:t>Tài liệu này là Addendum/Correction Baseline cho bộ BA/TD LCMS đã khóa. Mục tiêu là loại bỏ sự phụ thuộc bắt buộc vào hệ thống nguồn bên ngoài đối với các Business Object cần thiết để LCMS có thể vận hành như một sản phẩm thương mại độc lập. Tài liệu không thay thế CP1–CP7/TD1–TD6 và không làm thay đổi các nguyên tắc tài chính đã khóa.</w:t>
      </w:r>
    </w:p>
    <w:p>
      <w:pPr>
        <w:pStyle w:val="Heading2"/>
      </w:pPr>
      <w:r>
        <w:t>[PO CONFIRMED / ARCHITECTURE AGREED] — Standalone Commercial Product Principle</w:t>
      </w:r>
    </w:p>
    <w:p>
      <w:r>
        <w:t>LCMS phải có khả năng vận hành độc lập. Với các dữ liệu phù hợp, hệ thống phải hỗ trợ một hoặc nhiều phương thức Manual Entry / Import / API-Integration theo capability và Source-of-Truth policy của Tenant. Các object do LCMS derive/control không được cho nhập tay tùy ý.</w:t>
      </w:r>
    </w:p>
    <w:p>
      <w:pPr>
        <w:pStyle w:val="Heading1"/>
      </w:pPr>
      <w:r>
        <w:t>2. Quy tắc phân loại nguồn dữ liệu</w:t>
      </w:r>
    </w:p>
    <w:tbl>
      <w:tblPr>
        <w:tblStyle w:val="TableGrid"/>
        <w:tblW w:type="auto" w:w="0"/>
        <w:jc w:val="center"/>
        <w:tblLook w:firstColumn="1" w:firstRow="1" w:lastColumn="0" w:lastRow="0" w:noHBand="0" w:noVBand="1" w:val="04A0"/>
      </w:tblPr>
      <w:tblGrid>
        <w:gridCol w:w="5112"/>
        <w:gridCol w:w="5112"/>
      </w:tblGrid>
      <w:tr>
        <w:tc>
          <w:tcPr>
            <w:tcW w:type="dxa" w:w="5112"/>
          </w:tcPr>
          <w:p>
            <w:r>
              <w:t>Nhóm</w:t>
            </w:r>
          </w:p>
        </w:tc>
        <w:tc>
          <w:tcPr>
            <w:tcW w:type="dxa" w:w="5112"/>
          </w:tcPr>
          <w:p>
            <w:r>
              <w:t>Quy tắc</w:t>
            </w:r>
          </w:p>
        </w:tc>
      </w:tr>
      <w:tr>
        <w:tc>
          <w:tcPr>
            <w:tcW w:type="dxa" w:w="5112"/>
          </w:tcPr>
          <w:p>
            <w:r>
              <w:t>A — Reference/Master/Input Object</w:t>
            </w:r>
          </w:p>
        </w:tc>
        <w:tc>
          <w:tcPr>
            <w:tcW w:type="dxa" w:w="5112"/>
          </w:tcPr>
          <w:p>
            <w:r>
              <w:t>Cho phép tạo/nhận dữ liệu bằng Manual Entry, Import và/hoặc API-Integration theo capability. Không được khóa LCMS chỉ vì thiếu hệ thống nguồn.</w:t>
            </w:r>
          </w:p>
        </w:tc>
      </w:tr>
      <w:tr>
        <w:tc>
          <w:tcPr>
            <w:tcW w:type="dxa" w:w="5112"/>
          </w:tcPr>
          <w:p>
            <w:r>
              <w:t>B — Economic Transaction Object</w:t>
            </w:r>
          </w:p>
        </w:tc>
        <w:tc>
          <w:tcPr>
            <w:tcW w:type="dxa" w:w="5112"/>
          </w:tcPr>
          <w:p>
            <w:r>
              <w:t>Cho phép người dùng có quyền tạo trực tiếp và/hoặc Import/API nếu nghiệp vụ cho phép; phải chống duplicate economic fact và giữ source traceability.</w:t>
            </w:r>
          </w:p>
        </w:tc>
      </w:tr>
      <w:tr>
        <w:tc>
          <w:tcPr>
            <w:tcW w:type="dxa" w:w="5112"/>
          </w:tcPr>
          <w:p>
            <w:r>
              <w:t>C — Derived/Control Object</w:t>
            </w:r>
          </w:p>
        </w:tc>
        <w:tc>
          <w:tcPr>
            <w:tcW w:type="dxa" w:w="5112"/>
          </w:tcPr>
          <w:p>
            <w:r>
              <w:t>Không cho nhập tay như một record tự do. Chỉ được tạo qua command/business process hợp lệ của LCMS; người dùng có thể trigger/review/approve theo quyền.</w:t>
            </w:r>
          </w:p>
        </w:tc>
      </w:tr>
      <w:tr>
        <w:tc>
          <w:tcPr>
            <w:tcW w:type="dxa" w:w="5112"/>
          </w:tcPr>
          <w:p>
            <w:r>
              <w:t>D — Snapshot/Audit/System Object</w:t>
            </w:r>
          </w:p>
        </w:tc>
        <w:tc>
          <w:tcPr>
            <w:tcW w:type="dxa" w:w="5112"/>
          </w:tcPr>
          <w:p>
            <w:r>
              <w:t>System-generated, immutable/append-only theo thiết kế; không Manual Entry.</w:t>
            </w:r>
          </w:p>
        </w:tc>
      </w:tr>
    </w:tbl>
    <w:p>
      <w:pPr>
        <w:pStyle w:val="Heading1"/>
      </w:pPr>
      <w:r>
        <w:t>3. Kết quả rà soát D01–D12</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pPr>
              <w:spacing w:after="20"/>
            </w:pPr>
            <w:r>
              <w:rPr>
                <w:sz w:val="15"/>
              </w:rPr>
              <w:t>Domain</w:t>
            </w:r>
          </w:p>
        </w:tc>
        <w:tc>
          <w:tcPr>
            <w:tcW w:type="dxa" w:w="1704"/>
            <w:vAlign w:val="center"/>
          </w:tcPr>
          <w:p>
            <w:pPr>
              <w:spacing w:after="20"/>
            </w:pPr>
            <w:r>
              <w:rPr>
                <w:sz w:val="15"/>
              </w:rPr>
              <w:t>Tên</w:t>
            </w:r>
          </w:p>
        </w:tc>
        <w:tc>
          <w:tcPr>
            <w:tcW w:type="dxa" w:w="1704"/>
            <w:vAlign w:val="center"/>
          </w:tcPr>
          <w:p>
            <w:pPr>
              <w:spacing w:after="20"/>
            </w:pPr>
            <w:r>
              <w:rPr>
                <w:sz w:val="15"/>
              </w:rPr>
              <w:t>Object chính</w:t>
            </w:r>
          </w:p>
        </w:tc>
        <w:tc>
          <w:tcPr>
            <w:tcW w:type="dxa" w:w="1704"/>
            <w:vAlign w:val="center"/>
          </w:tcPr>
          <w:p>
            <w:pPr>
              <w:spacing w:after="20"/>
            </w:pPr>
            <w:r>
              <w:rPr>
                <w:sz w:val="15"/>
              </w:rPr>
              <w:t>Input/Creation baseline mới</w:t>
            </w:r>
          </w:p>
        </w:tc>
        <w:tc>
          <w:tcPr>
            <w:tcW w:type="dxa" w:w="1704"/>
            <w:vAlign w:val="center"/>
          </w:tcPr>
          <w:p>
            <w:pPr>
              <w:spacing w:after="20"/>
            </w:pPr>
            <w:r>
              <w:rPr>
                <w:sz w:val="15"/>
              </w:rPr>
              <w:t>Điều chỉnh/Guardrail</w:t>
            </w:r>
          </w:p>
        </w:tc>
        <w:tc>
          <w:tcPr>
            <w:tcW w:type="dxa" w:w="1704"/>
            <w:vAlign w:val="center"/>
          </w:tcPr>
          <w:p>
            <w:pPr>
              <w:spacing w:after="20"/>
            </w:pPr>
            <w:r>
              <w:rPr>
                <w:sz w:val="15"/>
              </w:rPr>
              <w:t>Kết quả</w:t>
            </w:r>
          </w:p>
        </w:tc>
      </w:tr>
      <w:tr>
        <w:tc>
          <w:tcPr>
            <w:tcW w:type="dxa" w:w="1704"/>
            <w:vAlign w:val="center"/>
          </w:tcPr>
          <w:p>
            <w:pPr>
              <w:spacing w:after="20"/>
            </w:pPr>
            <w:r>
              <w:rPr>
                <w:sz w:val="15"/>
              </w:rPr>
              <w:t>D01</w:t>
            </w:r>
          </w:p>
        </w:tc>
        <w:tc>
          <w:tcPr>
            <w:tcW w:type="dxa" w:w="1704"/>
            <w:vAlign w:val="center"/>
          </w:tcPr>
          <w:p>
            <w:pPr>
              <w:spacing w:after="20"/>
            </w:pPr>
            <w:r>
              <w:rPr>
                <w:sz w:val="15"/>
              </w:rPr>
              <w:t>Nền tảng &amp; Tenant</w:t>
            </w:r>
          </w:p>
        </w:tc>
        <w:tc>
          <w:tcPr>
            <w:tcW w:type="dxa" w:w="1704"/>
            <w:vAlign w:val="center"/>
          </w:tcPr>
          <w:p>
            <w:pPr>
              <w:spacing w:after="20"/>
            </w:pPr>
            <w:r>
              <w:rPr>
                <w:sz w:val="15"/>
              </w:rPr>
              <w:t>Tenant, Organization, User/Role/Permission</w:t>
            </w:r>
          </w:p>
        </w:tc>
        <w:tc>
          <w:tcPr>
            <w:tcW w:type="dxa" w:w="1704"/>
            <w:vAlign w:val="center"/>
          </w:tcPr>
          <w:p>
            <w:pPr>
              <w:spacing w:after="20"/>
            </w:pPr>
            <w:r>
              <w:rPr>
                <w:sz w:val="15"/>
              </w:rPr>
              <w:t>Manual/Admin + Import/Identity Integration</w:t>
            </w:r>
          </w:p>
        </w:tc>
        <w:tc>
          <w:tcPr>
            <w:tcW w:type="dxa" w:w="1704"/>
            <w:vAlign w:val="center"/>
          </w:tcPr>
          <w:p>
            <w:pPr>
              <w:spacing w:after="20"/>
            </w:pPr>
            <w:r>
              <w:rPr>
                <w:sz w:val="15"/>
              </w:rPr>
              <w:t>Cần bảo đảm bootstrap tenant/admin không phụ thuộc external IAM; user sync có thể tùy chọn.</w:t>
            </w:r>
          </w:p>
        </w:tc>
        <w:tc>
          <w:tcPr>
            <w:tcW w:type="dxa" w:w="1704"/>
            <w:vAlign w:val="center"/>
          </w:tcPr>
          <w:p>
            <w:pPr>
              <w:spacing w:after="20"/>
            </w:pPr>
            <w:r>
              <w:rPr>
                <w:sz w:val="15"/>
              </w:rPr>
              <w:t>ADJUST</w:t>
            </w:r>
          </w:p>
        </w:tc>
      </w:tr>
      <w:tr>
        <w:tc>
          <w:tcPr>
            <w:tcW w:type="dxa" w:w="1704"/>
            <w:vAlign w:val="center"/>
          </w:tcPr>
          <w:p>
            <w:pPr>
              <w:spacing w:after="20"/>
            </w:pPr>
            <w:r>
              <w:rPr>
                <w:sz w:val="15"/>
              </w:rPr>
              <w:t>D02</w:t>
            </w:r>
          </w:p>
        </w:tc>
        <w:tc>
          <w:tcPr>
            <w:tcW w:type="dxa" w:w="1704"/>
            <w:vAlign w:val="center"/>
          </w:tcPr>
          <w:p>
            <w:pPr>
              <w:spacing w:after="20"/>
            </w:pPr>
            <w:r>
              <w:rPr>
                <w:sz w:val="15"/>
              </w:rPr>
              <w:t>Danh mục &amp; Cấu hình</w:t>
            </w:r>
          </w:p>
        </w:tc>
        <w:tc>
          <w:tcPr>
            <w:tcW w:type="dxa" w:w="1704"/>
            <w:vAlign w:val="center"/>
          </w:tcPr>
          <w:p>
            <w:pPr>
              <w:spacing w:after="20"/>
            </w:pPr>
            <w:r>
              <w:rPr>
                <w:sz w:val="15"/>
              </w:rPr>
              <w:t>Business Party, Customer/Vendor roles, Currency, FX, Service/Cost/Revenue Type, Pricing Component, Policies</w:t>
            </w:r>
          </w:p>
        </w:tc>
        <w:tc>
          <w:tcPr>
            <w:tcW w:type="dxa" w:w="1704"/>
            <w:vAlign w:val="center"/>
          </w:tcPr>
          <w:p>
            <w:pPr>
              <w:spacing w:after="20"/>
            </w:pPr>
            <w:r>
              <w:rPr>
                <w:sz w:val="15"/>
              </w:rPr>
              <w:t>Manual + Import + API (tùy object)</w:t>
            </w:r>
          </w:p>
        </w:tc>
        <w:tc>
          <w:tcPr>
            <w:tcW w:type="dxa" w:w="1704"/>
            <w:vAlign w:val="center"/>
          </w:tcPr>
          <w:p>
            <w:pPr>
              <w:spacing w:after="20"/>
            </w:pPr>
            <w:r>
              <w:rPr>
                <w:sz w:val="15"/>
              </w:rPr>
              <w:t>Master/config phải quản trị được trực tiếp trong LCMS; external master chỉ là nguồn tùy chọn.</w:t>
            </w:r>
          </w:p>
        </w:tc>
        <w:tc>
          <w:tcPr>
            <w:tcW w:type="dxa" w:w="1704"/>
            <w:vAlign w:val="center"/>
          </w:tcPr>
          <w:p>
            <w:pPr>
              <w:spacing w:after="20"/>
            </w:pPr>
            <w:r>
              <w:rPr>
                <w:sz w:val="15"/>
              </w:rPr>
              <w:t>ADJUST</w:t>
            </w:r>
          </w:p>
        </w:tc>
      </w:tr>
      <w:tr>
        <w:tc>
          <w:tcPr>
            <w:tcW w:type="dxa" w:w="1704"/>
            <w:vAlign w:val="center"/>
          </w:tcPr>
          <w:p>
            <w:pPr>
              <w:spacing w:after="20"/>
            </w:pPr>
            <w:r>
              <w:rPr>
                <w:sz w:val="15"/>
              </w:rPr>
              <w:t>D03</w:t>
            </w:r>
          </w:p>
        </w:tc>
        <w:tc>
          <w:tcPr>
            <w:tcW w:type="dxa" w:w="1704"/>
            <w:vAlign w:val="center"/>
          </w:tcPr>
          <w:p>
            <w:pPr>
              <w:spacing w:after="20"/>
            </w:pPr>
            <w:r>
              <w:rPr>
                <w:sz w:val="15"/>
              </w:rPr>
              <w:t>Tham chiếu vận hành</w:t>
            </w:r>
          </w:p>
        </w:tc>
        <w:tc>
          <w:tcPr>
            <w:tcW w:type="dxa" w:w="1704"/>
            <w:vAlign w:val="center"/>
          </w:tcPr>
          <w:p>
            <w:pPr>
              <w:spacing w:after="20"/>
            </w:pPr>
            <w:r>
              <w:rPr>
                <w:sz w:val="15"/>
              </w:rPr>
              <w:t>Order, Bill, Shipment, Chặng, Chuyến + relationships</w:t>
            </w:r>
          </w:p>
        </w:tc>
        <w:tc>
          <w:tcPr>
            <w:tcW w:type="dxa" w:w="1704"/>
            <w:vAlign w:val="center"/>
          </w:tcPr>
          <w:p>
            <w:pPr>
              <w:spacing w:after="20"/>
            </w:pPr>
            <w:r>
              <w:rPr>
                <w:sz w:val="15"/>
              </w:rPr>
              <w:t>Manual Reference Entry + Import + API</w:t>
            </w:r>
          </w:p>
        </w:tc>
        <w:tc>
          <w:tcPr>
            <w:tcW w:type="dxa" w:w="1704"/>
            <w:vAlign w:val="center"/>
          </w:tcPr>
          <w:p>
            <w:pPr>
              <w:spacing w:after="20"/>
            </w:pPr>
            <w:r>
              <w:rPr>
                <w:sz w:val="15"/>
              </w:rPr>
              <w:t>Đã PO khóa. Khi có Operational System tích hợp thì hệ thống đó là SoT; manual không biến LCMS thành TMS.</w:t>
            </w:r>
          </w:p>
        </w:tc>
        <w:tc>
          <w:tcPr>
            <w:tcW w:type="dxa" w:w="1704"/>
            <w:vAlign w:val="center"/>
          </w:tcPr>
          <w:p>
            <w:pPr>
              <w:spacing w:after="20"/>
            </w:pPr>
            <w:r>
              <w:rPr>
                <w:sz w:val="15"/>
              </w:rPr>
              <w:t>ADJUST</w:t>
            </w:r>
          </w:p>
        </w:tc>
      </w:tr>
      <w:tr>
        <w:tc>
          <w:tcPr>
            <w:tcW w:type="dxa" w:w="1704"/>
            <w:vAlign w:val="center"/>
          </w:tcPr>
          <w:p>
            <w:pPr>
              <w:spacing w:after="20"/>
            </w:pPr>
            <w:r>
              <w:rPr>
                <w:sz w:val="15"/>
              </w:rPr>
              <w:t>D04</w:t>
            </w:r>
          </w:p>
        </w:tc>
        <w:tc>
          <w:tcPr>
            <w:tcW w:type="dxa" w:w="1704"/>
            <w:vAlign w:val="center"/>
          </w:tcPr>
          <w:p>
            <w:pPr>
              <w:spacing w:after="20"/>
            </w:pPr>
            <w:r>
              <w:rPr>
                <w:sz w:val="15"/>
              </w:rPr>
              <w:t>Bảng giá &amp; Tính giá</w:t>
            </w:r>
          </w:p>
        </w:tc>
        <w:tc>
          <w:tcPr>
            <w:tcW w:type="dxa" w:w="1704"/>
            <w:vAlign w:val="center"/>
          </w:tcPr>
          <w:p>
            <w:pPr>
              <w:spacing w:after="20"/>
            </w:pPr>
            <w:r>
              <w:rPr>
                <w:sz w:val="15"/>
              </w:rPr>
              <w:t>Rate Card, Version, Pricing Rule/Component; Rating</w:t>
            </w:r>
          </w:p>
        </w:tc>
        <w:tc>
          <w:tcPr>
            <w:tcW w:type="dxa" w:w="1704"/>
            <w:vAlign w:val="center"/>
          </w:tcPr>
          <w:p>
            <w:pPr>
              <w:spacing w:after="20"/>
            </w:pPr>
            <w:r>
              <w:rPr>
                <w:sz w:val="15"/>
              </w:rPr>
              <w:t>Rate master: Manual + Import + API; Rating: system command</w:t>
            </w:r>
          </w:p>
        </w:tc>
        <w:tc>
          <w:tcPr>
            <w:tcW w:type="dxa" w:w="1704"/>
            <w:vAlign w:val="center"/>
          </w:tcPr>
          <w:p>
            <w:pPr>
              <w:spacing w:after="20"/>
            </w:pPr>
            <w:r>
              <w:rPr>
                <w:sz w:val="15"/>
              </w:rPr>
              <w:t>Không được bắt buộc Rate System ngoài. Published version immutable; Rating result là system-generated snapshot.</w:t>
            </w:r>
          </w:p>
        </w:tc>
        <w:tc>
          <w:tcPr>
            <w:tcW w:type="dxa" w:w="1704"/>
            <w:vAlign w:val="center"/>
          </w:tcPr>
          <w:p>
            <w:pPr>
              <w:spacing w:after="20"/>
            </w:pPr>
            <w:r>
              <w:rPr>
                <w:sz w:val="15"/>
              </w:rPr>
              <w:t>ADJUST</w:t>
            </w:r>
          </w:p>
        </w:tc>
      </w:tr>
      <w:tr>
        <w:tc>
          <w:tcPr>
            <w:tcW w:type="dxa" w:w="1704"/>
            <w:vAlign w:val="center"/>
          </w:tcPr>
          <w:p>
            <w:pPr>
              <w:spacing w:after="20"/>
            </w:pPr>
            <w:r>
              <w:rPr>
                <w:sz w:val="15"/>
              </w:rPr>
              <w:t>D05</w:t>
            </w:r>
          </w:p>
        </w:tc>
        <w:tc>
          <w:tcPr>
            <w:tcW w:type="dxa" w:w="1704"/>
            <w:vAlign w:val="center"/>
          </w:tcPr>
          <w:p>
            <w:pPr>
              <w:spacing w:after="20"/>
            </w:pPr>
            <w:r>
              <w:rPr>
                <w:sz w:val="15"/>
              </w:rPr>
              <w:t>Chi phí &amp; Phân bổ</w:t>
            </w:r>
          </w:p>
        </w:tc>
        <w:tc>
          <w:tcPr>
            <w:tcW w:type="dxa" w:w="1704"/>
            <w:vAlign w:val="center"/>
          </w:tcPr>
          <w:p>
            <w:pPr>
              <w:spacing w:after="20"/>
            </w:pPr>
            <w:r>
              <w:rPr>
                <w:sz w:val="15"/>
              </w:rPr>
              <w:t>Cost, Cost Adjustment; Allocation</w:t>
            </w:r>
          </w:p>
        </w:tc>
        <w:tc>
          <w:tcPr>
            <w:tcW w:type="dxa" w:w="1704"/>
            <w:vAlign w:val="center"/>
          </w:tcPr>
          <w:p>
            <w:pPr>
              <w:spacing w:after="20"/>
            </w:pPr>
            <w:r>
              <w:rPr>
                <w:sz w:val="15"/>
              </w:rPr>
              <w:t>Cost: Manual + Import + API; Allocation: system workflow</w:t>
            </w:r>
          </w:p>
        </w:tc>
        <w:tc>
          <w:tcPr>
            <w:tcW w:type="dxa" w:w="1704"/>
            <w:vAlign w:val="center"/>
          </w:tcPr>
          <w:p>
            <w:pPr>
              <w:spacing w:after="20"/>
            </w:pPr>
            <w:r>
              <w:rPr>
                <w:sz w:val="15"/>
              </w:rPr>
              <w:t>CP6/TD2 đã có Create/Import Cost. Allocation không phải manual free-entry.</w:t>
            </w:r>
          </w:p>
        </w:tc>
        <w:tc>
          <w:tcPr>
            <w:tcW w:type="dxa" w:w="1704"/>
            <w:vAlign w:val="center"/>
          </w:tcPr>
          <w:p>
            <w:pPr>
              <w:spacing w:after="20"/>
            </w:pPr>
            <w:r>
              <w:rPr>
                <w:sz w:val="15"/>
              </w:rPr>
              <w:t>OK/GUARD</w:t>
            </w:r>
          </w:p>
        </w:tc>
      </w:tr>
      <w:tr>
        <w:tc>
          <w:tcPr>
            <w:tcW w:type="dxa" w:w="1704"/>
            <w:vAlign w:val="center"/>
          </w:tcPr>
          <w:p>
            <w:pPr>
              <w:spacing w:after="20"/>
            </w:pPr>
            <w:r>
              <w:rPr>
                <w:sz w:val="15"/>
              </w:rPr>
              <w:t>D06</w:t>
            </w:r>
          </w:p>
        </w:tc>
        <w:tc>
          <w:tcPr>
            <w:tcW w:type="dxa" w:w="1704"/>
            <w:vAlign w:val="center"/>
          </w:tcPr>
          <w:p>
            <w:pPr>
              <w:spacing w:after="20"/>
            </w:pPr>
            <w:r>
              <w:rPr>
                <w:sz w:val="15"/>
              </w:rPr>
              <w:t>Doanh thu</w:t>
            </w:r>
          </w:p>
        </w:tc>
        <w:tc>
          <w:tcPr>
            <w:tcW w:type="dxa" w:w="1704"/>
            <w:vAlign w:val="center"/>
          </w:tcPr>
          <w:p>
            <w:pPr>
              <w:spacing w:after="20"/>
            </w:pPr>
            <w:r>
              <w:rPr>
                <w:sz w:val="15"/>
              </w:rPr>
              <w:t>Revenue, Revenue Adjustment</w:t>
            </w:r>
          </w:p>
        </w:tc>
        <w:tc>
          <w:tcPr>
            <w:tcW w:type="dxa" w:w="1704"/>
            <w:vAlign w:val="center"/>
          </w:tcPr>
          <w:p>
            <w:pPr>
              <w:spacing w:after="20"/>
            </w:pPr>
            <w:r>
              <w:rPr>
                <w:sz w:val="15"/>
              </w:rPr>
              <w:t>Manual + Import + API theo Revenue SoT policy</w:t>
            </w:r>
          </w:p>
        </w:tc>
        <w:tc>
          <w:tcPr>
            <w:tcW w:type="dxa" w:w="1704"/>
            <w:vAlign w:val="center"/>
          </w:tcPr>
          <w:p>
            <w:pPr>
              <w:spacing w:after="20"/>
            </w:pPr>
            <w:r>
              <w:rPr>
                <w:sz w:val="15"/>
              </w:rPr>
              <w:t>CP6/TD2 đã có Create/Import Revenue; giữ Single Economic Revenue và recognition policy.</w:t>
            </w:r>
          </w:p>
        </w:tc>
        <w:tc>
          <w:tcPr>
            <w:tcW w:type="dxa" w:w="1704"/>
            <w:vAlign w:val="center"/>
          </w:tcPr>
          <w:p>
            <w:pPr>
              <w:spacing w:after="20"/>
            </w:pPr>
            <w:r>
              <w:rPr>
                <w:sz w:val="15"/>
              </w:rPr>
              <w:t>OK/GUARD</w:t>
            </w:r>
          </w:p>
        </w:tc>
      </w:tr>
      <w:tr>
        <w:tc>
          <w:tcPr>
            <w:tcW w:type="dxa" w:w="1704"/>
            <w:vAlign w:val="center"/>
          </w:tcPr>
          <w:p>
            <w:pPr>
              <w:spacing w:after="20"/>
            </w:pPr>
            <w:r>
              <w:rPr>
                <w:sz w:val="15"/>
              </w:rPr>
              <w:t>D07</w:t>
            </w:r>
          </w:p>
        </w:tc>
        <w:tc>
          <w:tcPr>
            <w:tcW w:type="dxa" w:w="1704"/>
            <w:vAlign w:val="center"/>
          </w:tcPr>
          <w:p>
            <w:pPr>
              <w:spacing w:after="20"/>
            </w:pPr>
            <w:r>
              <w:rPr>
                <w:sz w:val="15"/>
              </w:rPr>
              <w:t>Chứng từ tài chính</w:t>
            </w:r>
          </w:p>
        </w:tc>
        <w:tc>
          <w:tcPr>
            <w:tcW w:type="dxa" w:w="1704"/>
            <w:vAlign w:val="center"/>
          </w:tcPr>
          <w:p>
            <w:pPr>
              <w:spacing w:after="20"/>
            </w:pPr>
            <w:r>
              <w:rPr>
                <w:sz w:val="15"/>
              </w:rPr>
              <w:t>DN/Invoice/Other Document + lines; Matches</w:t>
            </w:r>
          </w:p>
        </w:tc>
        <w:tc>
          <w:tcPr>
            <w:tcW w:type="dxa" w:w="1704"/>
            <w:vAlign w:val="center"/>
          </w:tcPr>
          <w:p>
            <w:pPr>
              <w:spacing w:after="20"/>
            </w:pPr>
            <w:r>
              <w:rPr>
                <w:sz w:val="15"/>
              </w:rPr>
              <w:t>Document: Manual/Create + Import + API; Match: workflow</w:t>
            </w:r>
          </w:p>
        </w:tc>
        <w:tc>
          <w:tcPr>
            <w:tcW w:type="dxa" w:w="1704"/>
            <w:vAlign w:val="center"/>
          </w:tcPr>
          <w:p>
            <w:pPr>
              <w:spacing w:after="20"/>
            </w:pPr>
            <w:r>
              <w:rPr>
                <w:sz w:val="15"/>
              </w:rPr>
              <w:t>Không phụ thuộc ERP/document source; Received ≠ Accepted; matching N:N theo detail.</w:t>
            </w:r>
          </w:p>
        </w:tc>
        <w:tc>
          <w:tcPr>
            <w:tcW w:type="dxa" w:w="1704"/>
            <w:vAlign w:val="center"/>
          </w:tcPr>
          <w:p>
            <w:pPr>
              <w:spacing w:after="20"/>
            </w:pPr>
            <w:r>
              <w:rPr>
                <w:sz w:val="15"/>
              </w:rPr>
              <w:t>OK/GUARD</w:t>
            </w:r>
          </w:p>
        </w:tc>
      </w:tr>
      <w:tr>
        <w:tc>
          <w:tcPr>
            <w:tcW w:type="dxa" w:w="1704"/>
            <w:vAlign w:val="center"/>
          </w:tcPr>
          <w:p>
            <w:pPr>
              <w:spacing w:after="20"/>
            </w:pPr>
            <w:r>
              <w:rPr>
                <w:sz w:val="15"/>
              </w:rPr>
              <w:t>D08</w:t>
            </w:r>
          </w:p>
        </w:tc>
        <w:tc>
          <w:tcPr>
            <w:tcW w:type="dxa" w:w="1704"/>
            <w:vAlign w:val="center"/>
          </w:tcPr>
          <w:p>
            <w:pPr>
              <w:spacing w:after="20"/>
            </w:pPr>
            <w:r>
              <w:rPr>
                <w:sz w:val="15"/>
              </w:rPr>
              <w:t>Exposure &amp; AP/AR</w:t>
            </w:r>
          </w:p>
        </w:tc>
        <w:tc>
          <w:tcPr>
            <w:tcW w:type="dxa" w:w="1704"/>
            <w:vAlign w:val="center"/>
          </w:tcPr>
          <w:p>
            <w:pPr>
              <w:spacing w:after="20"/>
            </w:pPr>
            <w:r>
              <w:rPr>
                <w:sz w:val="15"/>
              </w:rPr>
              <w:t>Payable/Receivable Exposure, AP, AR</w:t>
            </w:r>
          </w:p>
        </w:tc>
        <w:tc>
          <w:tcPr>
            <w:tcW w:type="dxa" w:w="1704"/>
            <w:vAlign w:val="center"/>
          </w:tcPr>
          <w:p>
            <w:pPr>
              <w:spacing w:after="20"/>
            </w:pPr>
            <w:r>
              <w:rPr>
                <w:sz w:val="15"/>
              </w:rPr>
              <w:t>Derived/recognized qua policy; external refs có thể Import/API</w:t>
            </w:r>
          </w:p>
        </w:tc>
        <w:tc>
          <w:tcPr>
            <w:tcW w:type="dxa" w:w="1704"/>
            <w:vAlign w:val="center"/>
          </w:tcPr>
          <w:p>
            <w:pPr>
              <w:spacing w:after="20"/>
            </w:pPr>
            <w:r>
              <w:rPr>
                <w:sz w:val="15"/>
              </w:rPr>
              <w:t>Không tạo AP/AR như transaction tự do để né recognition; cho phép user trigger recognition nếu đủ điều kiện.</w:t>
            </w:r>
          </w:p>
        </w:tc>
        <w:tc>
          <w:tcPr>
            <w:tcW w:type="dxa" w:w="1704"/>
            <w:vAlign w:val="center"/>
          </w:tcPr>
          <w:p>
            <w:pPr>
              <w:spacing w:after="20"/>
            </w:pPr>
            <w:r>
              <w:rPr>
                <w:sz w:val="15"/>
              </w:rPr>
              <w:t>OK/GUARD</w:t>
            </w:r>
          </w:p>
        </w:tc>
      </w:tr>
      <w:tr>
        <w:tc>
          <w:tcPr>
            <w:tcW w:type="dxa" w:w="1704"/>
            <w:vAlign w:val="center"/>
          </w:tcPr>
          <w:p>
            <w:pPr>
              <w:spacing w:after="20"/>
            </w:pPr>
            <w:r>
              <w:rPr>
                <w:sz w:val="15"/>
              </w:rPr>
              <w:t>D09</w:t>
            </w:r>
          </w:p>
        </w:tc>
        <w:tc>
          <w:tcPr>
            <w:tcW w:type="dxa" w:w="1704"/>
            <w:vAlign w:val="center"/>
          </w:tcPr>
          <w:p>
            <w:pPr>
              <w:spacing w:after="20"/>
            </w:pPr>
            <w:r>
              <w:rPr>
                <w:sz w:val="15"/>
              </w:rPr>
              <w:t>Thanh toán &amp; Thu tiền</w:t>
            </w:r>
          </w:p>
        </w:tc>
        <w:tc>
          <w:tcPr>
            <w:tcW w:type="dxa" w:w="1704"/>
            <w:vAlign w:val="center"/>
          </w:tcPr>
          <w:p>
            <w:pPr>
              <w:spacing w:after="20"/>
            </w:pPr>
            <w:r>
              <w:rPr>
                <w:sz w:val="15"/>
              </w:rPr>
              <w:t>Payment, Collection; allocations; bank/cash refs</w:t>
            </w:r>
          </w:p>
        </w:tc>
        <w:tc>
          <w:tcPr>
            <w:tcW w:type="dxa" w:w="1704"/>
            <w:vAlign w:val="center"/>
          </w:tcPr>
          <w:p>
            <w:pPr>
              <w:spacing w:after="20"/>
            </w:pPr>
            <w:r>
              <w:rPr>
                <w:sz w:val="15"/>
              </w:rPr>
              <w:t>Manual capture + Import + API; allocation workflow</w:t>
            </w:r>
          </w:p>
        </w:tc>
        <w:tc>
          <w:tcPr>
            <w:tcW w:type="dxa" w:w="1704"/>
            <w:vAlign w:val="center"/>
          </w:tcPr>
          <w:p>
            <w:pPr>
              <w:spacing w:after="20"/>
            </w:pPr>
            <w:r>
              <w:rPr>
                <w:sz w:val="15"/>
              </w:rPr>
              <w:t>Bổ sung rõ manual cash entry có kiểm soát khi không có Bank/ERP; cash existence ≠ settlement.</w:t>
            </w:r>
          </w:p>
        </w:tc>
        <w:tc>
          <w:tcPr>
            <w:tcW w:type="dxa" w:w="1704"/>
            <w:vAlign w:val="center"/>
          </w:tcPr>
          <w:p>
            <w:pPr>
              <w:spacing w:after="20"/>
            </w:pPr>
            <w:r>
              <w:rPr>
                <w:sz w:val="15"/>
              </w:rPr>
              <w:t>ADJUST</w:t>
            </w:r>
          </w:p>
        </w:tc>
      </w:tr>
      <w:tr>
        <w:tc>
          <w:tcPr>
            <w:tcW w:type="dxa" w:w="1704"/>
            <w:vAlign w:val="center"/>
          </w:tcPr>
          <w:p>
            <w:pPr>
              <w:spacing w:after="20"/>
            </w:pPr>
            <w:r>
              <w:rPr>
                <w:sz w:val="15"/>
              </w:rPr>
              <w:t>D10</w:t>
            </w:r>
          </w:p>
        </w:tc>
        <w:tc>
          <w:tcPr>
            <w:tcW w:type="dxa" w:w="1704"/>
            <w:vAlign w:val="center"/>
          </w:tcPr>
          <w:p>
            <w:pPr>
              <w:spacing w:after="20"/>
            </w:pPr>
            <w:r>
              <w:rPr>
                <w:sz w:val="15"/>
              </w:rPr>
              <w:t>Kiểm soát tài chính</w:t>
            </w:r>
          </w:p>
        </w:tc>
        <w:tc>
          <w:tcPr>
            <w:tcW w:type="dxa" w:w="1704"/>
            <w:vAlign w:val="center"/>
          </w:tcPr>
          <w:p>
            <w:pPr>
              <w:spacing w:after="20"/>
            </w:pPr>
            <w:r>
              <w:rPr>
                <w:sz w:val="15"/>
              </w:rPr>
              <w:t>Reconciliation, Variance, Exception, Approval</w:t>
            </w:r>
          </w:p>
        </w:tc>
        <w:tc>
          <w:tcPr>
            <w:tcW w:type="dxa" w:w="1704"/>
            <w:vAlign w:val="center"/>
          </w:tcPr>
          <w:p>
            <w:pPr>
              <w:spacing w:after="20"/>
            </w:pPr>
            <w:r>
              <w:rPr>
                <w:sz w:val="15"/>
              </w:rPr>
              <w:t>System/workflow generated; manual trigger/decision</w:t>
            </w:r>
          </w:p>
        </w:tc>
        <w:tc>
          <w:tcPr>
            <w:tcW w:type="dxa" w:w="1704"/>
            <w:vAlign w:val="center"/>
          </w:tcPr>
          <w:p>
            <w:pPr>
              <w:spacing w:after="20"/>
            </w:pPr>
            <w:r>
              <w:rPr>
                <w:sz w:val="15"/>
              </w:rPr>
              <w:t>Không manual free-entry cho derived facts; cho phép manual match/resolve/approve theo workflow.</w:t>
            </w:r>
          </w:p>
        </w:tc>
        <w:tc>
          <w:tcPr>
            <w:tcW w:type="dxa" w:w="1704"/>
            <w:vAlign w:val="center"/>
          </w:tcPr>
          <w:p>
            <w:pPr>
              <w:spacing w:after="20"/>
            </w:pPr>
            <w:r>
              <w:rPr>
                <w:sz w:val="15"/>
              </w:rPr>
              <w:t>OK/GUARD</w:t>
            </w:r>
          </w:p>
        </w:tc>
      </w:tr>
      <w:tr>
        <w:tc>
          <w:tcPr>
            <w:tcW w:type="dxa" w:w="1704"/>
            <w:vAlign w:val="center"/>
          </w:tcPr>
          <w:p>
            <w:pPr>
              <w:spacing w:after="20"/>
            </w:pPr>
            <w:r>
              <w:rPr>
                <w:sz w:val="15"/>
              </w:rPr>
              <w:t>D11</w:t>
            </w:r>
          </w:p>
        </w:tc>
        <w:tc>
          <w:tcPr>
            <w:tcW w:type="dxa" w:w="1704"/>
            <w:vAlign w:val="center"/>
          </w:tcPr>
          <w:p>
            <w:pPr>
              <w:spacing w:after="20"/>
            </w:pPr>
            <w:r>
              <w:rPr>
                <w:sz w:val="15"/>
              </w:rPr>
              <w:t>Chốt tài chính</w:t>
            </w:r>
          </w:p>
        </w:tc>
        <w:tc>
          <w:tcPr>
            <w:tcW w:type="dxa" w:w="1704"/>
            <w:vAlign w:val="center"/>
          </w:tcPr>
          <w:p>
            <w:pPr>
              <w:spacing w:after="20"/>
            </w:pPr>
            <w:r>
              <w:rPr>
                <w:sz w:val="15"/>
              </w:rPr>
              <w:t>Financial Close, Snapshot</w:t>
            </w:r>
          </w:p>
        </w:tc>
        <w:tc>
          <w:tcPr>
            <w:tcW w:type="dxa" w:w="1704"/>
            <w:vAlign w:val="center"/>
          </w:tcPr>
          <w:p>
            <w:pPr>
              <w:spacing w:after="20"/>
            </w:pPr>
            <w:r>
              <w:rPr>
                <w:sz w:val="15"/>
              </w:rPr>
              <w:t>Close/Reopen command; snapshot system-generated</w:t>
            </w:r>
          </w:p>
        </w:tc>
        <w:tc>
          <w:tcPr>
            <w:tcW w:type="dxa" w:w="1704"/>
            <w:vAlign w:val="center"/>
          </w:tcPr>
          <w:p>
            <w:pPr>
              <w:spacing w:after="20"/>
            </w:pPr>
            <w:r>
              <w:rPr>
                <w:sz w:val="15"/>
              </w:rPr>
              <w:t>Không manual snapshot; immutable as-closed history.</w:t>
            </w:r>
          </w:p>
        </w:tc>
        <w:tc>
          <w:tcPr>
            <w:tcW w:type="dxa" w:w="1704"/>
            <w:vAlign w:val="center"/>
          </w:tcPr>
          <w:p>
            <w:pPr>
              <w:spacing w:after="20"/>
            </w:pPr>
            <w:r>
              <w:rPr>
                <w:sz w:val="15"/>
              </w:rPr>
              <w:t>OK/GUARD</w:t>
            </w:r>
          </w:p>
        </w:tc>
      </w:tr>
      <w:tr>
        <w:tc>
          <w:tcPr>
            <w:tcW w:type="dxa" w:w="1704"/>
            <w:vAlign w:val="center"/>
          </w:tcPr>
          <w:p>
            <w:pPr>
              <w:spacing w:after="20"/>
            </w:pPr>
            <w:r>
              <w:rPr>
                <w:sz w:val="15"/>
              </w:rPr>
              <w:t>D12</w:t>
            </w:r>
          </w:p>
        </w:tc>
        <w:tc>
          <w:tcPr>
            <w:tcW w:type="dxa" w:w="1704"/>
            <w:vAlign w:val="center"/>
          </w:tcPr>
          <w:p>
            <w:pPr>
              <w:spacing w:after="20"/>
            </w:pPr>
            <w:r>
              <w:rPr>
                <w:sz w:val="15"/>
              </w:rPr>
              <w:t>Tích hợp &amp; Audit</w:t>
            </w:r>
          </w:p>
        </w:tc>
        <w:tc>
          <w:tcPr>
            <w:tcW w:type="dxa" w:w="1704"/>
            <w:vAlign w:val="center"/>
          </w:tcPr>
          <w:p>
            <w:pPr>
              <w:spacing w:after="20"/>
            </w:pPr>
            <w:r>
              <w:rPr>
                <w:sz w:val="15"/>
              </w:rPr>
              <w:t>Integration Record/Error, Audit Event</w:t>
            </w:r>
          </w:p>
        </w:tc>
        <w:tc>
          <w:tcPr>
            <w:tcW w:type="dxa" w:w="1704"/>
            <w:vAlign w:val="center"/>
          </w:tcPr>
          <w:p>
            <w:pPr>
              <w:spacing w:after="20"/>
            </w:pPr>
            <w:r>
              <w:rPr>
                <w:sz w:val="15"/>
              </w:rPr>
              <w:t>System-generated</w:t>
            </w:r>
          </w:p>
        </w:tc>
        <w:tc>
          <w:tcPr>
            <w:tcW w:type="dxa" w:w="1704"/>
            <w:vAlign w:val="center"/>
          </w:tcPr>
          <w:p>
            <w:pPr>
              <w:spacing w:after="20"/>
            </w:pPr>
            <w:r>
              <w:rPr>
                <w:sz w:val="15"/>
              </w:rPr>
              <w:t>Không là dependency để core LCMS chạy; integration adapter là optional theo Tenant/source.</w:t>
            </w:r>
          </w:p>
        </w:tc>
        <w:tc>
          <w:tcPr>
            <w:tcW w:type="dxa" w:w="1704"/>
            <w:vAlign w:val="center"/>
          </w:tcPr>
          <w:p>
            <w:pPr>
              <w:spacing w:after="20"/>
            </w:pPr>
            <w:r>
              <w:rPr>
                <w:sz w:val="15"/>
              </w:rPr>
              <w:t>ADJUST</w:t>
            </w:r>
          </w:p>
        </w:tc>
      </w:tr>
    </w:tbl>
    <w:p>
      <w:pPr>
        <w:pStyle w:val="Heading1"/>
      </w:pPr>
      <w:r>
        <w:t>4. Ma trận Business Object cần DEV áp dụng</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pPr>
            <w:r>
              <w:rPr>
                <w:sz w:val="14"/>
              </w:rPr>
              <w:t>Object</w:t>
            </w:r>
          </w:p>
        </w:tc>
        <w:tc>
          <w:tcPr>
            <w:tcW w:type="dxa" w:w="1278"/>
          </w:tcPr>
          <w:p>
            <w:pPr>
              <w:spacing w:after="0"/>
            </w:pPr>
            <w:r>
              <w:rPr>
                <w:sz w:val="14"/>
              </w:rPr>
              <w:t>Domain</w:t>
            </w:r>
          </w:p>
        </w:tc>
        <w:tc>
          <w:tcPr>
            <w:tcW w:type="dxa" w:w="1278"/>
          </w:tcPr>
          <w:p>
            <w:pPr>
              <w:spacing w:after="0"/>
            </w:pPr>
            <w:r>
              <w:rPr>
                <w:sz w:val="14"/>
              </w:rPr>
              <w:t>Class</w:t>
            </w:r>
          </w:p>
        </w:tc>
        <w:tc>
          <w:tcPr>
            <w:tcW w:type="dxa" w:w="1278"/>
          </w:tcPr>
          <w:p>
            <w:pPr>
              <w:spacing w:after="0"/>
            </w:pPr>
            <w:r>
              <w:rPr>
                <w:sz w:val="14"/>
              </w:rPr>
              <w:t>Manual</w:t>
            </w:r>
          </w:p>
        </w:tc>
        <w:tc>
          <w:tcPr>
            <w:tcW w:type="dxa" w:w="1278"/>
          </w:tcPr>
          <w:p>
            <w:pPr>
              <w:spacing w:after="0"/>
            </w:pPr>
            <w:r>
              <w:rPr>
                <w:sz w:val="14"/>
              </w:rPr>
              <w:t>Import</w:t>
            </w:r>
          </w:p>
        </w:tc>
        <w:tc>
          <w:tcPr>
            <w:tcW w:type="dxa" w:w="1278"/>
          </w:tcPr>
          <w:p>
            <w:pPr>
              <w:spacing w:after="0"/>
            </w:pPr>
            <w:r>
              <w:rPr>
                <w:sz w:val="14"/>
              </w:rPr>
              <w:t>API</w:t>
            </w:r>
          </w:p>
        </w:tc>
        <w:tc>
          <w:tcPr>
            <w:tcW w:type="dxa" w:w="1278"/>
          </w:tcPr>
          <w:p>
            <w:pPr>
              <w:spacing w:after="0"/>
            </w:pPr>
            <w:r>
              <w:rPr>
                <w:sz w:val="14"/>
              </w:rPr>
              <w:t>SoT</w:t>
            </w:r>
          </w:p>
        </w:tc>
        <w:tc>
          <w:tcPr>
            <w:tcW w:type="dxa" w:w="1278"/>
          </w:tcPr>
          <w:p>
            <w:pPr>
              <w:spacing w:after="0"/>
            </w:pPr>
            <w:r>
              <w:rPr>
                <w:sz w:val="14"/>
              </w:rPr>
              <w:t>Guardrail</w:t>
            </w:r>
          </w:p>
        </w:tc>
      </w:tr>
      <w:tr>
        <w:tc>
          <w:tcPr>
            <w:tcW w:type="dxa" w:w="1278"/>
          </w:tcPr>
          <w:p>
            <w:pPr>
              <w:spacing w:after="0"/>
            </w:pPr>
            <w:r>
              <w:rPr>
                <w:sz w:val="14"/>
              </w:rPr>
              <w:t>Tenant/Organization</w:t>
            </w:r>
          </w:p>
        </w:tc>
        <w:tc>
          <w:tcPr>
            <w:tcW w:type="dxa" w:w="1278"/>
          </w:tcPr>
          <w:p>
            <w:pPr>
              <w:spacing w:after="0"/>
            </w:pPr>
            <w:r>
              <w:rPr>
                <w:sz w:val="14"/>
              </w:rPr>
              <w:t>D01</w:t>
            </w:r>
          </w:p>
        </w:tc>
        <w:tc>
          <w:tcPr>
            <w:tcW w:type="dxa" w:w="1278"/>
          </w:tcPr>
          <w:p>
            <w:pPr>
              <w:spacing w:after="0"/>
            </w:pPr>
            <w:r>
              <w:rPr>
                <w:sz w:val="14"/>
              </w:rPr>
              <w:t>A</w:t>
            </w:r>
          </w:p>
        </w:tc>
        <w:tc>
          <w:tcPr>
            <w:tcW w:type="dxa" w:w="1278"/>
          </w:tcPr>
          <w:p>
            <w:pPr>
              <w:spacing w:after="0"/>
            </w:pPr>
            <w:r>
              <w:rPr>
                <w:sz w:val="14"/>
              </w:rPr>
              <w:t>Manual/Admin</w:t>
            </w:r>
          </w:p>
        </w:tc>
        <w:tc>
          <w:tcPr>
            <w:tcW w:type="dxa" w:w="1278"/>
          </w:tcPr>
          <w:p>
            <w:pPr>
              <w:spacing w:after="0"/>
            </w:pPr>
            <w:r>
              <w:rPr>
                <w:sz w:val="14"/>
              </w:rPr>
              <w:t>Import optional</w:t>
            </w:r>
          </w:p>
        </w:tc>
        <w:tc>
          <w:tcPr>
            <w:tcW w:type="dxa" w:w="1278"/>
          </w:tcPr>
          <w:p>
            <w:pPr>
              <w:spacing w:after="0"/>
            </w:pPr>
            <w:r>
              <w:rPr>
                <w:sz w:val="14"/>
              </w:rPr>
              <w:t>API/Identity optional</w:t>
            </w:r>
          </w:p>
        </w:tc>
        <w:tc>
          <w:tcPr>
            <w:tcW w:type="dxa" w:w="1278"/>
          </w:tcPr>
          <w:p>
            <w:pPr>
              <w:spacing w:after="0"/>
            </w:pPr>
            <w:r>
              <w:rPr>
                <w:sz w:val="14"/>
              </w:rPr>
              <w:t>LCMS/configured</w:t>
            </w:r>
          </w:p>
        </w:tc>
        <w:tc>
          <w:tcPr>
            <w:tcW w:type="dxa" w:w="1278"/>
          </w:tcPr>
          <w:p>
            <w:pPr>
              <w:spacing w:after="0"/>
            </w:pPr>
            <w:r>
              <w:rPr>
                <w:sz w:val="14"/>
              </w:rPr>
              <w:t>Không khóa bootstrap.</w:t>
            </w:r>
          </w:p>
        </w:tc>
      </w:tr>
      <w:tr>
        <w:tc>
          <w:tcPr>
            <w:tcW w:type="dxa" w:w="1278"/>
          </w:tcPr>
          <w:p>
            <w:pPr>
              <w:spacing w:after="0"/>
            </w:pPr>
            <w:r>
              <w:rPr>
                <w:sz w:val="14"/>
              </w:rPr>
              <w:t>User/Role/Permission</w:t>
            </w:r>
          </w:p>
        </w:tc>
        <w:tc>
          <w:tcPr>
            <w:tcW w:type="dxa" w:w="1278"/>
          </w:tcPr>
          <w:p>
            <w:pPr>
              <w:spacing w:after="0"/>
            </w:pPr>
            <w:r>
              <w:rPr>
                <w:sz w:val="14"/>
              </w:rPr>
              <w:t>D01</w:t>
            </w:r>
          </w:p>
        </w:tc>
        <w:tc>
          <w:tcPr>
            <w:tcW w:type="dxa" w:w="1278"/>
          </w:tcPr>
          <w:p>
            <w:pPr>
              <w:spacing w:after="0"/>
            </w:pPr>
            <w:r>
              <w:rPr>
                <w:sz w:val="14"/>
              </w:rPr>
              <w:t>A/C</w:t>
            </w:r>
          </w:p>
        </w:tc>
        <w:tc>
          <w:tcPr>
            <w:tcW w:type="dxa" w:w="1278"/>
          </w:tcPr>
          <w:p>
            <w:pPr>
              <w:spacing w:after="0"/>
            </w:pPr>
            <w:r>
              <w:rPr>
                <w:sz w:val="14"/>
              </w:rPr>
              <w:t>Manual/Admin</w:t>
            </w:r>
          </w:p>
        </w:tc>
        <w:tc>
          <w:tcPr>
            <w:tcW w:type="dxa" w:w="1278"/>
          </w:tcPr>
          <w:p>
            <w:pPr>
              <w:spacing w:after="0"/>
            </w:pPr>
            <w:r>
              <w:rPr>
                <w:sz w:val="14"/>
              </w:rPr>
              <w:t>Import optional</w:t>
            </w:r>
          </w:p>
        </w:tc>
        <w:tc>
          <w:tcPr>
            <w:tcW w:type="dxa" w:w="1278"/>
          </w:tcPr>
          <w:p>
            <w:pPr>
              <w:spacing w:after="0"/>
            </w:pPr>
            <w:r>
              <w:rPr>
                <w:sz w:val="14"/>
              </w:rPr>
              <w:t>Identity integration optional</w:t>
            </w:r>
          </w:p>
        </w:tc>
        <w:tc>
          <w:tcPr>
            <w:tcW w:type="dxa" w:w="1278"/>
          </w:tcPr>
          <w:p>
            <w:pPr>
              <w:spacing w:after="0"/>
            </w:pPr>
            <w:r>
              <w:rPr>
                <w:sz w:val="14"/>
              </w:rPr>
              <w:t>LCMS/configured</w:t>
            </w:r>
          </w:p>
        </w:tc>
        <w:tc>
          <w:tcPr>
            <w:tcW w:type="dxa" w:w="1278"/>
          </w:tcPr>
          <w:p>
            <w:pPr>
              <w:spacing w:after="0"/>
            </w:pPr>
            <w:r>
              <w:rPr>
                <w:sz w:val="14"/>
              </w:rPr>
              <w:t>Permission ≠ Approval.</w:t>
            </w:r>
          </w:p>
        </w:tc>
      </w:tr>
      <w:tr>
        <w:tc>
          <w:tcPr>
            <w:tcW w:type="dxa" w:w="1278"/>
          </w:tcPr>
          <w:p>
            <w:pPr>
              <w:spacing w:after="0"/>
            </w:pPr>
            <w:r>
              <w:rPr>
                <w:sz w:val="14"/>
              </w:rPr>
              <w:t>Business Party / Customer / Vendor</w:t>
            </w:r>
          </w:p>
        </w:tc>
        <w:tc>
          <w:tcPr>
            <w:tcW w:type="dxa" w:w="1278"/>
          </w:tcPr>
          <w:p>
            <w:pPr>
              <w:spacing w:after="0"/>
            </w:pPr>
            <w:r>
              <w:rPr>
                <w:sz w:val="14"/>
              </w:rPr>
              <w:t>D02</w:t>
            </w:r>
          </w:p>
        </w:tc>
        <w:tc>
          <w:tcPr>
            <w:tcW w:type="dxa" w:w="1278"/>
          </w:tcPr>
          <w:p>
            <w:pPr>
              <w:spacing w:after="0"/>
            </w:pPr>
            <w:r>
              <w:rPr>
                <w:sz w:val="14"/>
              </w:rPr>
              <w:t>A</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Configured master source</w:t>
            </w:r>
          </w:p>
        </w:tc>
        <w:tc>
          <w:tcPr>
            <w:tcW w:type="dxa" w:w="1278"/>
          </w:tcPr>
          <w:p>
            <w:pPr>
              <w:spacing w:after="0"/>
            </w:pPr>
            <w:r>
              <w:rPr>
                <w:sz w:val="14"/>
              </w:rPr>
              <w:t>Canonical party + roles.</w:t>
            </w:r>
          </w:p>
        </w:tc>
      </w:tr>
      <w:tr>
        <w:tc>
          <w:tcPr>
            <w:tcW w:type="dxa" w:w="1278"/>
          </w:tcPr>
          <w:p>
            <w:pPr>
              <w:spacing w:after="0"/>
            </w:pPr>
            <w:r>
              <w:rPr>
                <w:sz w:val="14"/>
              </w:rPr>
              <w:t>Currency</w:t>
            </w:r>
          </w:p>
        </w:tc>
        <w:tc>
          <w:tcPr>
            <w:tcW w:type="dxa" w:w="1278"/>
          </w:tcPr>
          <w:p>
            <w:pPr>
              <w:spacing w:after="0"/>
            </w:pPr>
            <w:r>
              <w:rPr>
                <w:sz w:val="14"/>
              </w:rPr>
              <w:t>D02</w:t>
            </w:r>
          </w:p>
        </w:tc>
        <w:tc>
          <w:tcPr>
            <w:tcW w:type="dxa" w:w="1278"/>
          </w:tcPr>
          <w:p>
            <w:pPr>
              <w:spacing w:after="0"/>
            </w:pPr>
            <w:r>
              <w:rPr>
                <w:sz w:val="14"/>
              </w:rPr>
              <w:t>A</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LCMS/standard master</w:t>
            </w:r>
          </w:p>
        </w:tc>
        <w:tc>
          <w:tcPr>
            <w:tcW w:type="dxa" w:w="1278"/>
          </w:tcPr>
          <w:p>
            <w:pPr>
              <w:spacing w:after="0"/>
            </w:pPr>
            <w:r>
              <w:rPr>
                <w:sz w:val="14"/>
              </w:rPr>
              <w:t>Không phụ thuộc API.</w:t>
            </w:r>
          </w:p>
        </w:tc>
      </w:tr>
      <w:tr>
        <w:tc>
          <w:tcPr>
            <w:tcW w:type="dxa" w:w="1278"/>
          </w:tcPr>
          <w:p>
            <w:pPr>
              <w:spacing w:after="0"/>
            </w:pPr>
            <w:r>
              <w:rPr>
                <w:sz w:val="14"/>
              </w:rPr>
              <w:t>FX Rate</w:t>
            </w:r>
          </w:p>
        </w:tc>
        <w:tc>
          <w:tcPr>
            <w:tcW w:type="dxa" w:w="1278"/>
          </w:tcPr>
          <w:p>
            <w:pPr>
              <w:spacing w:after="0"/>
            </w:pPr>
            <w:r>
              <w:rPr>
                <w:sz w:val="14"/>
              </w:rPr>
              <w:t>D02</w:t>
            </w:r>
          </w:p>
        </w:tc>
        <w:tc>
          <w:tcPr>
            <w:tcW w:type="dxa" w:w="1278"/>
          </w:tcPr>
          <w:p>
            <w:pPr>
              <w:spacing w:after="0"/>
            </w:pPr>
            <w:r>
              <w:rPr>
                <w:sz w:val="14"/>
              </w:rPr>
              <w:t>A</w:t>
            </w:r>
          </w:p>
        </w:tc>
        <w:tc>
          <w:tcPr>
            <w:tcW w:type="dxa" w:w="1278"/>
          </w:tcPr>
          <w:p>
            <w:pPr>
              <w:spacing w:after="0"/>
            </w:pPr>
            <w:r>
              <w:rPr>
                <w:sz w:val="14"/>
              </w:rPr>
              <w:t>Có kiểm soát</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Configured FX source</w:t>
            </w:r>
          </w:p>
        </w:tc>
        <w:tc>
          <w:tcPr>
            <w:tcW w:type="dxa" w:w="1278"/>
          </w:tcPr>
          <w:p>
            <w:pPr>
              <w:spacing w:after="0"/>
            </w:pPr>
            <w:r>
              <w:rPr>
                <w:sz w:val="14"/>
              </w:rPr>
              <w:t>Lưu source/date/version; không recalc lịch sử.</w:t>
            </w:r>
          </w:p>
        </w:tc>
      </w:tr>
      <w:tr>
        <w:tc>
          <w:tcPr>
            <w:tcW w:type="dxa" w:w="1278"/>
          </w:tcPr>
          <w:p>
            <w:pPr>
              <w:spacing w:after="0"/>
            </w:pPr>
            <w:r>
              <w:rPr>
                <w:sz w:val="14"/>
              </w:rPr>
              <w:t>Service/Cost/Revenue Type</w:t>
            </w:r>
          </w:p>
        </w:tc>
        <w:tc>
          <w:tcPr>
            <w:tcW w:type="dxa" w:w="1278"/>
          </w:tcPr>
          <w:p>
            <w:pPr>
              <w:spacing w:after="0"/>
            </w:pPr>
            <w:r>
              <w:rPr>
                <w:sz w:val="14"/>
              </w:rPr>
              <w:t>D02</w:t>
            </w:r>
          </w:p>
        </w:tc>
        <w:tc>
          <w:tcPr>
            <w:tcW w:type="dxa" w:w="1278"/>
          </w:tcPr>
          <w:p>
            <w:pPr>
              <w:spacing w:after="0"/>
            </w:pPr>
            <w:r>
              <w:rPr>
                <w:sz w:val="14"/>
              </w:rPr>
              <w:t>A</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LCMS/configured</w:t>
            </w:r>
          </w:p>
        </w:tc>
        <w:tc>
          <w:tcPr>
            <w:tcW w:type="dxa" w:w="1278"/>
          </w:tcPr>
          <w:p>
            <w:pPr>
              <w:spacing w:after="0"/>
            </w:pPr>
            <w:r>
              <w:rPr>
                <w:sz w:val="14"/>
              </w:rPr>
              <w:t>Effective-dated/versioned.</w:t>
            </w:r>
          </w:p>
        </w:tc>
      </w:tr>
      <w:tr>
        <w:tc>
          <w:tcPr>
            <w:tcW w:type="dxa" w:w="1278"/>
          </w:tcPr>
          <w:p>
            <w:pPr>
              <w:spacing w:after="0"/>
            </w:pPr>
            <w:r>
              <w:rPr>
                <w:sz w:val="14"/>
              </w:rPr>
              <w:t>Pricing Component / Document Type / Payment Terms</w:t>
            </w:r>
          </w:p>
        </w:tc>
        <w:tc>
          <w:tcPr>
            <w:tcW w:type="dxa" w:w="1278"/>
          </w:tcPr>
          <w:p>
            <w:pPr>
              <w:spacing w:after="0"/>
            </w:pPr>
            <w:r>
              <w:rPr>
                <w:sz w:val="14"/>
              </w:rPr>
              <w:t>D02</w:t>
            </w:r>
          </w:p>
        </w:tc>
        <w:tc>
          <w:tcPr>
            <w:tcW w:type="dxa" w:w="1278"/>
          </w:tcPr>
          <w:p>
            <w:pPr>
              <w:spacing w:after="0"/>
            </w:pPr>
            <w:r>
              <w:rPr>
                <w:sz w:val="14"/>
              </w:rPr>
              <w:t>A</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LCMS/configured</w:t>
            </w:r>
          </w:p>
        </w:tc>
        <w:tc>
          <w:tcPr>
            <w:tcW w:type="dxa" w:w="1278"/>
          </w:tcPr>
          <w:p>
            <w:pPr>
              <w:spacing w:after="0"/>
            </w:pPr>
            <w:r>
              <w:rPr>
                <w:sz w:val="14"/>
              </w:rPr>
              <w:t>Configurable taxonomy.</w:t>
            </w:r>
          </w:p>
        </w:tc>
      </w:tr>
      <w:tr>
        <w:tc>
          <w:tcPr>
            <w:tcW w:type="dxa" w:w="1278"/>
          </w:tcPr>
          <w:p>
            <w:pPr>
              <w:spacing w:after="0"/>
            </w:pPr>
            <w:r>
              <w:rPr>
                <w:sz w:val="14"/>
              </w:rPr>
              <w:t>Order</w:t>
            </w:r>
          </w:p>
        </w:tc>
        <w:tc>
          <w:tcPr>
            <w:tcW w:type="dxa" w:w="1278"/>
          </w:tcPr>
          <w:p>
            <w:pPr>
              <w:spacing w:after="0"/>
            </w:pPr>
            <w:r>
              <w:rPr>
                <w:sz w:val="14"/>
              </w:rPr>
              <w:t>D03</w:t>
            </w:r>
          </w:p>
        </w:tc>
        <w:tc>
          <w:tcPr>
            <w:tcW w:type="dxa" w:w="1278"/>
          </w:tcPr>
          <w:p>
            <w:pPr>
              <w:spacing w:after="0"/>
            </w:pPr>
            <w:r>
              <w:rPr>
                <w:sz w:val="14"/>
              </w:rPr>
              <w:t>A</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Operational System nếu tích hợp; nếu không LCMS manual/import</w:t>
            </w:r>
          </w:p>
        </w:tc>
        <w:tc>
          <w:tcPr>
            <w:tcW w:type="dxa" w:w="1278"/>
          </w:tcPr>
          <w:p>
            <w:pPr>
              <w:spacing w:after="0"/>
            </w:pPr>
            <w:r>
              <w:rPr>
                <w:sz w:val="14"/>
              </w:rPr>
              <w:t>Reference only.</w:t>
            </w:r>
          </w:p>
        </w:tc>
      </w:tr>
      <w:tr>
        <w:tc>
          <w:tcPr>
            <w:tcW w:type="dxa" w:w="1278"/>
          </w:tcPr>
          <w:p>
            <w:pPr>
              <w:spacing w:after="0"/>
            </w:pPr>
            <w:r>
              <w:rPr>
                <w:sz w:val="14"/>
              </w:rPr>
              <w:t>Bill</w:t>
            </w:r>
          </w:p>
        </w:tc>
        <w:tc>
          <w:tcPr>
            <w:tcW w:type="dxa" w:w="1278"/>
          </w:tcPr>
          <w:p>
            <w:pPr>
              <w:spacing w:after="0"/>
            </w:pPr>
            <w:r>
              <w:rPr>
                <w:sz w:val="14"/>
              </w:rPr>
              <w:t>D03</w:t>
            </w:r>
          </w:p>
        </w:tc>
        <w:tc>
          <w:tcPr>
            <w:tcW w:type="dxa" w:w="1278"/>
          </w:tcPr>
          <w:p>
            <w:pPr>
              <w:spacing w:after="0"/>
            </w:pPr>
            <w:r>
              <w:rPr>
                <w:sz w:val="14"/>
              </w:rPr>
              <w:t>A</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Operational System nếu tích hợp; nếu không LCMS manual/import</w:t>
            </w:r>
          </w:p>
        </w:tc>
        <w:tc>
          <w:tcPr>
            <w:tcW w:type="dxa" w:w="1278"/>
          </w:tcPr>
          <w:p>
            <w:pPr>
              <w:spacing w:after="0"/>
            </w:pPr>
            <w:r>
              <w:rPr>
                <w:sz w:val="14"/>
              </w:rPr>
              <w:t>Financial Anchor.</w:t>
            </w:r>
          </w:p>
        </w:tc>
      </w:tr>
      <w:tr>
        <w:tc>
          <w:tcPr>
            <w:tcW w:type="dxa" w:w="1278"/>
          </w:tcPr>
          <w:p>
            <w:pPr>
              <w:spacing w:after="0"/>
            </w:pPr>
            <w:r>
              <w:rPr>
                <w:sz w:val="14"/>
              </w:rPr>
              <w:t>Shipment</w:t>
            </w:r>
          </w:p>
        </w:tc>
        <w:tc>
          <w:tcPr>
            <w:tcW w:type="dxa" w:w="1278"/>
          </w:tcPr>
          <w:p>
            <w:pPr>
              <w:spacing w:after="0"/>
            </w:pPr>
            <w:r>
              <w:rPr>
                <w:sz w:val="14"/>
              </w:rPr>
              <w:t>D03</w:t>
            </w:r>
          </w:p>
        </w:tc>
        <w:tc>
          <w:tcPr>
            <w:tcW w:type="dxa" w:w="1278"/>
          </w:tcPr>
          <w:p>
            <w:pPr>
              <w:spacing w:after="0"/>
            </w:pPr>
            <w:r>
              <w:rPr>
                <w:sz w:val="14"/>
              </w:rPr>
              <w:t>A</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Operational System nếu tích hợp; nếu không LCMS manual/import</w:t>
            </w:r>
          </w:p>
        </w:tc>
        <w:tc>
          <w:tcPr>
            <w:tcW w:type="dxa" w:w="1278"/>
          </w:tcPr>
          <w:p>
            <w:pPr>
              <w:spacing w:after="0"/>
            </w:pPr>
            <w:r>
              <w:rPr>
                <w:sz w:val="14"/>
              </w:rPr>
              <w:t>Optional operational depth.</w:t>
            </w:r>
          </w:p>
        </w:tc>
      </w:tr>
      <w:tr>
        <w:tc>
          <w:tcPr>
            <w:tcW w:type="dxa" w:w="1278"/>
          </w:tcPr>
          <w:p>
            <w:pPr>
              <w:spacing w:after="0"/>
            </w:pPr>
            <w:r>
              <w:rPr>
                <w:sz w:val="14"/>
              </w:rPr>
              <w:t>Transport Leg / Chặng</w:t>
            </w:r>
          </w:p>
        </w:tc>
        <w:tc>
          <w:tcPr>
            <w:tcW w:type="dxa" w:w="1278"/>
          </w:tcPr>
          <w:p>
            <w:pPr>
              <w:spacing w:after="0"/>
            </w:pPr>
            <w:r>
              <w:rPr>
                <w:sz w:val="14"/>
              </w:rPr>
              <w:t>D03</w:t>
            </w:r>
          </w:p>
        </w:tc>
        <w:tc>
          <w:tcPr>
            <w:tcW w:type="dxa" w:w="1278"/>
          </w:tcPr>
          <w:p>
            <w:pPr>
              <w:spacing w:after="0"/>
            </w:pPr>
            <w:r>
              <w:rPr>
                <w:sz w:val="14"/>
              </w:rPr>
              <w:t>A</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Operational System nếu tích hợp; nếu không LCMS manual/import</w:t>
            </w:r>
          </w:p>
        </w:tc>
        <w:tc>
          <w:tcPr>
            <w:tcW w:type="dxa" w:w="1278"/>
          </w:tcPr>
          <w:p>
            <w:pPr>
              <w:spacing w:after="0"/>
            </w:pPr>
            <w:r>
              <w:rPr>
                <w:sz w:val="14"/>
              </w:rPr>
              <w:t>Không điều phối.</w:t>
            </w:r>
          </w:p>
        </w:tc>
      </w:tr>
      <w:tr>
        <w:tc>
          <w:tcPr>
            <w:tcW w:type="dxa" w:w="1278"/>
          </w:tcPr>
          <w:p>
            <w:pPr>
              <w:spacing w:after="0"/>
            </w:pPr>
            <w:r>
              <w:rPr>
                <w:sz w:val="14"/>
              </w:rPr>
              <w:t>Transport Movement / Chuyến</w:t>
            </w:r>
          </w:p>
        </w:tc>
        <w:tc>
          <w:tcPr>
            <w:tcW w:type="dxa" w:w="1278"/>
          </w:tcPr>
          <w:p>
            <w:pPr>
              <w:spacing w:after="0"/>
            </w:pPr>
            <w:r>
              <w:rPr>
                <w:sz w:val="14"/>
              </w:rPr>
              <w:t>D03</w:t>
            </w:r>
          </w:p>
        </w:tc>
        <w:tc>
          <w:tcPr>
            <w:tcW w:type="dxa" w:w="1278"/>
          </w:tcPr>
          <w:p>
            <w:pPr>
              <w:spacing w:after="0"/>
            </w:pPr>
            <w:r>
              <w:rPr>
                <w:sz w:val="14"/>
              </w:rPr>
              <w:t>A</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Operational System nếu tích hợp; nếu không LCMS manual/import</w:t>
            </w:r>
          </w:p>
        </w:tc>
        <w:tc>
          <w:tcPr>
            <w:tcW w:type="dxa" w:w="1278"/>
          </w:tcPr>
          <w:p>
            <w:pPr>
              <w:spacing w:after="0"/>
            </w:pPr>
            <w:r>
              <w:rPr>
                <w:sz w:val="14"/>
              </w:rPr>
              <w:t>Số chuyến + ngày khi áp dụng.</w:t>
            </w:r>
          </w:p>
        </w:tc>
      </w:tr>
      <w:tr>
        <w:tc>
          <w:tcPr>
            <w:tcW w:type="dxa" w:w="1278"/>
          </w:tcPr>
          <w:p>
            <w:pPr>
              <w:spacing w:after="0"/>
            </w:pPr>
            <w:r>
              <w:rPr>
                <w:sz w:val="14"/>
              </w:rPr>
              <w:t>Rate Card / Rate Version / Pricing Rule</w:t>
            </w:r>
          </w:p>
        </w:tc>
        <w:tc>
          <w:tcPr>
            <w:tcW w:type="dxa" w:w="1278"/>
          </w:tcPr>
          <w:p>
            <w:pPr>
              <w:spacing w:after="0"/>
            </w:pPr>
            <w:r>
              <w:rPr>
                <w:sz w:val="14"/>
              </w:rPr>
              <w:t>D04</w:t>
            </w:r>
          </w:p>
        </w:tc>
        <w:tc>
          <w:tcPr>
            <w:tcW w:type="dxa" w:w="1278"/>
          </w:tcPr>
          <w:p>
            <w:pPr>
              <w:spacing w:after="0"/>
            </w:pPr>
            <w:r>
              <w:rPr>
                <w:sz w:val="14"/>
              </w:rPr>
              <w:t>A</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Configured source</w:t>
            </w:r>
          </w:p>
        </w:tc>
        <w:tc>
          <w:tcPr>
            <w:tcW w:type="dxa" w:w="1278"/>
          </w:tcPr>
          <w:p>
            <w:pPr>
              <w:spacing w:after="0"/>
            </w:pPr>
            <w:r>
              <w:rPr>
                <w:sz w:val="14"/>
              </w:rPr>
              <w:t>Published version immutable.</w:t>
            </w:r>
          </w:p>
        </w:tc>
      </w:tr>
      <w:tr>
        <w:tc>
          <w:tcPr>
            <w:tcW w:type="dxa" w:w="1278"/>
          </w:tcPr>
          <w:p>
            <w:pPr>
              <w:spacing w:after="0"/>
            </w:pPr>
            <w:r>
              <w:rPr>
                <w:sz w:val="14"/>
              </w:rPr>
              <w:t>Rating / Rating Detail</w:t>
            </w:r>
          </w:p>
        </w:tc>
        <w:tc>
          <w:tcPr>
            <w:tcW w:type="dxa" w:w="1278"/>
          </w:tcPr>
          <w:p>
            <w:pPr>
              <w:spacing w:after="0"/>
            </w:pPr>
            <w:r>
              <w:rPr>
                <w:sz w:val="14"/>
              </w:rPr>
              <w:t>D04</w:t>
            </w:r>
          </w:p>
        </w:tc>
        <w:tc>
          <w:tcPr>
            <w:tcW w:type="dxa" w:w="1278"/>
          </w:tcPr>
          <w:p>
            <w:pPr>
              <w:spacing w:after="0"/>
            </w:pPr>
            <w:r>
              <w:rPr>
                <w:sz w:val="14"/>
              </w:rPr>
              <w:t>C/D</w:t>
            </w:r>
          </w:p>
        </w:tc>
        <w:tc>
          <w:tcPr>
            <w:tcW w:type="dxa" w:w="1278"/>
          </w:tcPr>
          <w:p>
            <w:pPr>
              <w:spacing w:after="0"/>
            </w:pPr>
            <w:r>
              <w:rPr>
                <w:sz w:val="14"/>
              </w:rPr>
              <w:t>Không</w:t>
            </w:r>
          </w:p>
        </w:tc>
        <w:tc>
          <w:tcPr>
            <w:tcW w:type="dxa" w:w="1278"/>
          </w:tcPr>
          <w:p>
            <w:pPr>
              <w:spacing w:after="0"/>
            </w:pPr>
            <w:r>
              <w:rPr>
                <w:sz w:val="14"/>
              </w:rPr>
              <w:t>Batch input context</w:t>
            </w:r>
          </w:p>
        </w:tc>
        <w:tc>
          <w:tcPr>
            <w:tcW w:type="dxa" w:w="1278"/>
          </w:tcPr>
          <w:p>
            <w:pPr>
              <w:spacing w:after="0"/>
            </w:pPr>
            <w:r>
              <w:rPr>
                <w:sz w:val="14"/>
              </w:rPr>
              <w:t>API command</w:t>
            </w:r>
          </w:p>
        </w:tc>
        <w:tc>
          <w:tcPr>
            <w:tcW w:type="dxa" w:w="1278"/>
          </w:tcPr>
          <w:p>
            <w:pPr>
              <w:spacing w:after="0"/>
            </w:pPr>
            <w:r>
              <w:rPr>
                <w:sz w:val="14"/>
              </w:rPr>
              <w:t>LCMS</w:t>
            </w:r>
          </w:p>
        </w:tc>
        <w:tc>
          <w:tcPr>
            <w:tcW w:type="dxa" w:w="1278"/>
          </w:tcPr>
          <w:p>
            <w:pPr>
              <w:spacing w:after="0"/>
            </w:pPr>
            <w:r>
              <w:rPr>
                <w:sz w:val="14"/>
              </w:rPr>
              <w:t>System-generated result/snapshot.</w:t>
            </w:r>
          </w:p>
        </w:tc>
      </w:tr>
      <w:tr>
        <w:tc>
          <w:tcPr>
            <w:tcW w:type="dxa" w:w="1278"/>
          </w:tcPr>
          <w:p>
            <w:pPr>
              <w:spacing w:after="0"/>
            </w:pPr>
            <w:r>
              <w:rPr>
                <w:sz w:val="14"/>
              </w:rPr>
              <w:t>Cost</w:t>
            </w:r>
          </w:p>
        </w:tc>
        <w:tc>
          <w:tcPr>
            <w:tcW w:type="dxa" w:w="1278"/>
          </w:tcPr>
          <w:p>
            <w:pPr>
              <w:spacing w:after="0"/>
            </w:pPr>
            <w:r>
              <w:rPr>
                <w:sz w:val="14"/>
              </w:rPr>
              <w:t>D05</w:t>
            </w:r>
          </w:p>
        </w:tc>
        <w:tc>
          <w:tcPr>
            <w:tcW w:type="dxa" w:w="1278"/>
          </w:tcPr>
          <w:p>
            <w:pPr>
              <w:spacing w:after="0"/>
            </w:pPr>
            <w:r>
              <w:rPr>
                <w:sz w:val="14"/>
              </w:rPr>
              <w:t>B</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LCMS + integrated source</w:t>
            </w:r>
          </w:p>
        </w:tc>
        <w:tc>
          <w:tcPr>
            <w:tcW w:type="dxa" w:w="1278"/>
          </w:tcPr>
          <w:p>
            <w:pPr>
              <w:spacing w:after="0"/>
            </w:pPr>
            <w:r>
              <w:rPr>
                <w:sz w:val="14"/>
              </w:rPr>
              <w:t>Single Economic Cost.</w:t>
            </w:r>
          </w:p>
        </w:tc>
      </w:tr>
      <w:tr>
        <w:tc>
          <w:tcPr>
            <w:tcW w:type="dxa" w:w="1278"/>
          </w:tcPr>
          <w:p>
            <w:pPr>
              <w:spacing w:after="0"/>
            </w:pPr>
            <w:r>
              <w:rPr>
                <w:sz w:val="14"/>
              </w:rPr>
              <w:t>Cost Allocation</w:t>
            </w:r>
          </w:p>
        </w:tc>
        <w:tc>
          <w:tcPr>
            <w:tcW w:type="dxa" w:w="1278"/>
          </w:tcPr>
          <w:p>
            <w:pPr>
              <w:spacing w:after="0"/>
            </w:pPr>
            <w:r>
              <w:rPr>
                <w:sz w:val="14"/>
              </w:rPr>
              <w:t>D05</w:t>
            </w:r>
          </w:p>
        </w:tc>
        <w:tc>
          <w:tcPr>
            <w:tcW w:type="dxa" w:w="1278"/>
          </w:tcPr>
          <w:p>
            <w:pPr>
              <w:spacing w:after="0"/>
            </w:pPr>
            <w:r>
              <w:rPr>
                <w:sz w:val="14"/>
              </w:rPr>
              <w:t>C</w:t>
            </w:r>
          </w:p>
        </w:tc>
        <w:tc>
          <w:tcPr>
            <w:tcW w:type="dxa" w:w="1278"/>
          </w:tcPr>
          <w:p>
            <w:pPr>
              <w:spacing w:after="0"/>
            </w:pPr>
            <w:r>
              <w:rPr>
                <w:sz w:val="14"/>
              </w:rPr>
              <w:t>Không</w:t>
            </w:r>
          </w:p>
        </w:tc>
        <w:tc>
          <w:tcPr>
            <w:tcW w:type="dxa" w:w="1278"/>
          </w:tcPr>
          <w:p>
            <w:pPr>
              <w:spacing w:after="0"/>
            </w:pPr>
            <w:r>
              <w:rPr>
                <w:sz w:val="14"/>
              </w:rPr>
              <w:t>Không như record tự do</w:t>
            </w:r>
          </w:p>
        </w:tc>
        <w:tc>
          <w:tcPr>
            <w:tcW w:type="dxa" w:w="1278"/>
          </w:tcPr>
          <w:p>
            <w:pPr>
              <w:spacing w:after="0"/>
            </w:pPr>
            <w:r>
              <w:rPr>
                <w:sz w:val="14"/>
              </w:rPr>
              <w:t>Command/API workflow</w:t>
            </w:r>
          </w:p>
        </w:tc>
        <w:tc>
          <w:tcPr>
            <w:tcW w:type="dxa" w:w="1278"/>
          </w:tcPr>
          <w:p>
            <w:pPr>
              <w:spacing w:after="0"/>
            </w:pPr>
            <w:r>
              <w:rPr>
                <w:sz w:val="14"/>
              </w:rPr>
              <w:t>LCMS</w:t>
            </w:r>
          </w:p>
        </w:tc>
        <w:tc>
          <w:tcPr>
            <w:tcW w:type="dxa" w:w="1278"/>
          </w:tcPr>
          <w:p>
            <w:pPr>
              <w:spacing w:after="0"/>
            </w:pPr>
            <w:r>
              <w:rPr>
                <w:sz w:val="14"/>
              </w:rPr>
              <w:t>Conservation + finalize/supersede.</w:t>
            </w:r>
          </w:p>
        </w:tc>
      </w:tr>
      <w:tr>
        <w:tc>
          <w:tcPr>
            <w:tcW w:type="dxa" w:w="1278"/>
          </w:tcPr>
          <w:p>
            <w:pPr>
              <w:spacing w:after="0"/>
            </w:pPr>
            <w:r>
              <w:rPr>
                <w:sz w:val="14"/>
              </w:rPr>
              <w:t>Revenue</w:t>
            </w:r>
          </w:p>
        </w:tc>
        <w:tc>
          <w:tcPr>
            <w:tcW w:type="dxa" w:w="1278"/>
          </w:tcPr>
          <w:p>
            <w:pPr>
              <w:spacing w:after="0"/>
            </w:pPr>
            <w:r>
              <w:rPr>
                <w:sz w:val="14"/>
              </w:rPr>
              <w:t>D06</w:t>
            </w:r>
          </w:p>
        </w:tc>
        <w:tc>
          <w:tcPr>
            <w:tcW w:type="dxa" w:w="1278"/>
          </w:tcPr>
          <w:p>
            <w:pPr>
              <w:spacing w:after="0"/>
            </w:pPr>
            <w:r>
              <w:rPr>
                <w:sz w:val="14"/>
              </w:rPr>
              <w:t>B</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Configured Revenue SoT</w:t>
            </w:r>
          </w:p>
        </w:tc>
        <w:tc>
          <w:tcPr>
            <w:tcW w:type="dxa" w:w="1278"/>
          </w:tcPr>
          <w:p>
            <w:pPr>
              <w:spacing w:after="0"/>
            </w:pPr>
            <w:r>
              <w:rPr>
                <w:sz w:val="14"/>
              </w:rPr>
              <w:t>Single Economic Revenue.</w:t>
            </w:r>
          </w:p>
        </w:tc>
      </w:tr>
      <w:tr>
        <w:tc>
          <w:tcPr>
            <w:tcW w:type="dxa" w:w="1278"/>
          </w:tcPr>
          <w:p>
            <w:pPr>
              <w:spacing w:after="0"/>
            </w:pPr>
            <w:r>
              <w:rPr>
                <w:sz w:val="14"/>
              </w:rPr>
              <w:t>Financial Document / DN / Invoice</w:t>
            </w:r>
          </w:p>
        </w:tc>
        <w:tc>
          <w:tcPr>
            <w:tcW w:type="dxa" w:w="1278"/>
          </w:tcPr>
          <w:p>
            <w:pPr>
              <w:spacing w:after="0"/>
            </w:pPr>
            <w:r>
              <w:rPr>
                <w:sz w:val="14"/>
              </w:rPr>
              <w:t>D07</w:t>
            </w:r>
          </w:p>
        </w:tc>
        <w:tc>
          <w:tcPr>
            <w:tcW w:type="dxa" w:w="1278"/>
          </w:tcPr>
          <w:p>
            <w:pPr>
              <w:spacing w:after="0"/>
            </w:pPr>
            <w:r>
              <w:rPr>
                <w:sz w:val="14"/>
              </w:rPr>
              <w:t>B/A</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Configured document/finance source</w:t>
            </w:r>
          </w:p>
        </w:tc>
        <w:tc>
          <w:tcPr>
            <w:tcW w:type="dxa" w:w="1278"/>
          </w:tcPr>
          <w:p>
            <w:pPr>
              <w:spacing w:after="0"/>
            </w:pPr>
            <w:r>
              <w:rPr>
                <w:sz w:val="14"/>
              </w:rPr>
              <w:t>Receive/Create; Accepted riêng.</w:t>
            </w:r>
          </w:p>
        </w:tc>
      </w:tr>
      <w:tr>
        <w:tc>
          <w:tcPr>
            <w:tcW w:type="dxa" w:w="1278"/>
          </w:tcPr>
          <w:p>
            <w:pPr>
              <w:spacing w:after="0"/>
            </w:pPr>
            <w:r>
              <w:rPr>
                <w:sz w:val="14"/>
              </w:rPr>
              <w:t>Document Match</w:t>
            </w:r>
          </w:p>
        </w:tc>
        <w:tc>
          <w:tcPr>
            <w:tcW w:type="dxa" w:w="1278"/>
          </w:tcPr>
          <w:p>
            <w:pPr>
              <w:spacing w:after="0"/>
            </w:pPr>
            <w:r>
              <w:rPr>
                <w:sz w:val="14"/>
              </w:rPr>
              <w:t>D07</w:t>
            </w:r>
          </w:p>
        </w:tc>
        <w:tc>
          <w:tcPr>
            <w:tcW w:type="dxa" w:w="1278"/>
          </w:tcPr>
          <w:p>
            <w:pPr>
              <w:spacing w:after="0"/>
            </w:pPr>
            <w:r>
              <w:rPr>
                <w:sz w:val="14"/>
              </w:rPr>
              <w:t>C</w:t>
            </w:r>
          </w:p>
        </w:tc>
        <w:tc>
          <w:tcPr>
            <w:tcW w:type="dxa" w:w="1278"/>
          </w:tcPr>
          <w:p>
            <w:pPr>
              <w:spacing w:after="0"/>
            </w:pPr>
            <w:r>
              <w:rPr>
                <w:sz w:val="14"/>
              </w:rPr>
              <w:t>Manual match workflow</w:t>
            </w:r>
          </w:p>
        </w:tc>
        <w:tc>
          <w:tcPr>
            <w:tcW w:type="dxa" w:w="1278"/>
          </w:tcPr>
          <w:p>
            <w:pPr>
              <w:spacing w:after="0"/>
            </w:pPr>
            <w:r>
              <w:rPr>
                <w:sz w:val="14"/>
              </w:rPr>
              <w:t>Candidate import không tạo final fact</w:t>
            </w:r>
          </w:p>
        </w:tc>
        <w:tc>
          <w:tcPr>
            <w:tcW w:type="dxa" w:w="1278"/>
          </w:tcPr>
          <w:p>
            <w:pPr>
              <w:spacing w:after="0"/>
            </w:pPr>
            <w:r>
              <w:rPr>
                <w:sz w:val="14"/>
              </w:rPr>
              <w:t>Command/API</w:t>
            </w:r>
          </w:p>
        </w:tc>
        <w:tc>
          <w:tcPr>
            <w:tcW w:type="dxa" w:w="1278"/>
          </w:tcPr>
          <w:p>
            <w:pPr>
              <w:spacing w:after="0"/>
            </w:pPr>
            <w:r>
              <w:rPr>
                <w:sz w:val="14"/>
              </w:rPr>
              <w:t>LCMS</w:t>
            </w:r>
          </w:p>
        </w:tc>
        <w:tc>
          <w:tcPr>
            <w:tcW w:type="dxa" w:w="1278"/>
          </w:tcPr>
          <w:p>
            <w:pPr>
              <w:spacing w:after="0"/>
            </w:pPr>
            <w:r>
              <w:rPr>
                <w:sz w:val="14"/>
              </w:rPr>
              <w:t>N:N detail matching.</w:t>
            </w:r>
          </w:p>
        </w:tc>
      </w:tr>
      <w:tr>
        <w:tc>
          <w:tcPr>
            <w:tcW w:type="dxa" w:w="1278"/>
          </w:tcPr>
          <w:p>
            <w:pPr>
              <w:spacing w:after="0"/>
            </w:pPr>
            <w:r>
              <w:rPr>
                <w:sz w:val="14"/>
              </w:rPr>
              <w:t>Exposure / AP / AR</w:t>
            </w:r>
          </w:p>
        </w:tc>
        <w:tc>
          <w:tcPr>
            <w:tcW w:type="dxa" w:w="1278"/>
          </w:tcPr>
          <w:p>
            <w:pPr>
              <w:spacing w:after="0"/>
            </w:pPr>
            <w:r>
              <w:rPr>
                <w:sz w:val="14"/>
              </w:rPr>
              <w:t>D08</w:t>
            </w:r>
          </w:p>
        </w:tc>
        <w:tc>
          <w:tcPr>
            <w:tcW w:type="dxa" w:w="1278"/>
          </w:tcPr>
          <w:p>
            <w:pPr>
              <w:spacing w:after="0"/>
            </w:pPr>
            <w:r>
              <w:rPr>
                <w:sz w:val="14"/>
              </w:rPr>
              <w:t>C</w:t>
            </w:r>
          </w:p>
        </w:tc>
        <w:tc>
          <w:tcPr>
            <w:tcW w:type="dxa" w:w="1278"/>
          </w:tcPr>
          <w:p>
            <w:pPr>
              <w:spacing w:after="0"/>
            </w:pPr>
            <w:r>
              <w:rPr>
                <w:sz w:val="14"/>
              </w:rPr>
              <w:t>Không free-entry</w:t>
            </w:r>
          </w:p>
        </w:tc>
        <w:tc>
          <w:tcPr>
            <w:tcW w:type="dxa" w:w="1278"/>
          </w:tcPr>
          <w:p>
            <w:pPr>
              <w:spacing w:after="0"/>
            </w:pPr>
            <w:r>
              <w:rPr>
                <w:sz w:val="14"/>
              </w:rPr>
              <w:t>External refs optional</w:t>
            </w:r>
          </w:p>
        </w:tc>
        <w:tc>
          <w:tcPr>
            <w:tcW w:type="dxa" w:w="1278"/>
          </w:tcPr>
          <w:p>
            <w:pPr>
              <w:spacing w:after="0"/>
            </w:pPr>
            <w:r>
              <w:rPr>
                <w:sz w:val="14"/>
              </w:rPr>
              <w:t>Recognition command/API</w:t>
            </w:r>
          </w:p>
        </w:tc>
        <w:tc>
          <w:tcPr>
            <w:tcW w:type="dxa" w:w="1278"/>
          </w:tcPr>
          <w:p>
            <w:pPr>
              <w:spacing w:after="0"/>
            </w:pPr>
            <w:r>
              <w:rPr>
                <w:sz w:val="14"/>
              </w:rPr>
              <w:t>LCMS policy/configured source</w:t>
            </w:r>
          </w:p>
        </w:tc>
        <w:tc>
          <w:tcPr>
            <w:tcW w:type="dxa" w:w="1278"/>
          </w:tcPr>
          <w:p>
            <w:pPr>
              <w:spacing w:after="0"/>
            </w:pPr>
            <w:r>
              <w:rPr>
                <w:sz w:val="14"/>
              </w:rPr>
              <w:t>Recognition không tạo Cost/Revenue.</w:t>
            </w:r>
          </w:p>
        </w:tc>
      </w:tr>
      <w:tr>
        <w:tc>
          <w:tcPr>
            <w:tcW w:type="dxa" w:w="1278"/>
          </w:tcPr>
          <w:p>
            <w:pPr>
              <w:spacing w:after="0"/>
            </w:pPr>
            <w:r>
              <w:rPr>
                <w:sz w:val="14"/>
              </w:rPr>
              <w:t>Payment / Collection</w:t>
            </w:r>
          </w:p>
        </w:tc>
        <w:tc>
          <w:tcPr>
            <w:tcW w:type="dxa" w:w="1278"/>
          </w:tcPr>
          <w:p>
            <w:pPr>
              <w:spacing w:after="0"/>
            </w:pPr>
            <w:r>
              <w:rPr>
                <w:sz w:val="14"/>
              </w:rPr>
              <w:t>D09</w:t>
            </w:r>
          </w:p>
        </w:tc>
        <w:tc>
          <w:tcPr>
            <w:tcW w:type="dxa" w:w="1278"/>
          </w:tcPr>
          <w:p>
            <w:pPr>
              <w:spacing w:after="0"/>
            </w:pPr>
            <w:r>
              <w:rPr>
                <w:sz w:val="14"/>
              </w:rPr>
              <w:t>B</w:t>
            </w:r>
          </w:p>
        </w:tc>
        <w:tc>
          <w:tcPr>
            <w:tcW w:type="dxa" w:w="1278"/>
          </w:tcPr>
          <w:p>
            <w:pPr>
              <w:spacing w:after="0"/>
            </w:pPr>
            <w:r>
              <w:rPr>
                <w:sz w:val="14"/>
              </w:rPr>
              <w:t>Có kiểm soát</w:t>
            </w:r>
          </w:p>
        </w:tc>
        <w:tc>
          <w:tcPr>
            <w:tcW w:type="dxa" w:w="1278"/>
          </w:tcPr>
          <w:p>
            <w:pPr>
              <w:spacing w:after="0"/>
            </w:pPr>
            <w:r>
              <w:rPr>
                <w:sz w:val="14"/>
              </w:rPr>
              <w:t>Có</w:t>
            </w:r>
          </w:p>
        </w:tc>
        <w:tc>
          <w:tcPr>
            <w:tcW w:type="dxa" w:w="1278"/>
          </w:tcPr>
          <w:p>
            <w:pPr>
              <w:spacing w:after="0"/>
            </w:pPr>
            <w:r>
              <w:rPr>
                <w:sz w:val="14"/>
              </w:rPr>
              <w:t>Có</w:t>
            </w:r>
          </w:p>
        </w:tc>
        <w:tc>
          <w:tcPr>
            <w:tcW w:type="dxa" w:w="1278"/>
          </w:tcPr>
          <w:p>
            <w:pPr>
              <w:spacing w:after="0"/>
            </w:pPr>
            <w:r>
              <w:rPr>
                <w:sz w:val="14"/>
              </w:rPr>
              <w:t>Bank/Cash/LCMS manual source</w:t>
            </w:r>
          </w:p>
        </w:tc>
        <w:tc>
          <w:tcPr>
            <w:tcW w:type="dxa" w:w="1278"/>
          </w:tcPr>
          <w:p>
            <w:pPr>
              <w:spacing w:after="0"/>
            </w:pPr>
            <w:r>
              <w:rPr>
                <w:sz w:val="14"/>
              </w:rPr>
              <w:t>Manual khi không có bank integration.</w:t>
            </w:r>
          </w:p>
        </w:tc>
      </w:tr>
      <w:tr>
        <w:tc>
          <w:tcPr>
            <w:tcW w:type="dxa" w:w="1278"/>
          </w:tcPr>
          <w:p>
            <w:pPr>
              <w:spacing w:after="0"/>
            </w:pPr>
            <w:r>
              <w:rPr>
                <w:sz w:val="14"/>
              </w:rPr>
              <w:t>Payment/Collection Allocation</w:t>
            </w:r>
          </w:p>
        </w:tc>
        <w:tc>
          <w:tcPr>
            <w:tcW w:type="dxa" w:w="1278"/>
          </w:tcPr>
          <w:p>
            <w:pPr>
              <w:spacing w:after="0"/>
            </w:pPr>
            <w:r>
              <w:rPr>
                <w:sz w:val="14"/>
              </w:rPr>
              <w:t>D09</w:t>
            </w:r>
          </w:p>
        </w:tc>
        <w:tc>
          <w:tcPr>
            <w:tcW w:type="dxa" w:w="1278"/>
          </w:tcPr>
          <w:p>
            <w:pPr>
              <w:spacing w:after="0"/>
            </w:pPr>
            <w:r>
              <w:rPr>
                <w:sz w:val="14"/>
              </w:rPr>
              <w:t>C</w:t>
            </w:r>
          </w:p>
        </w:tc>
        <w:tc>
          <w:tcPr>
            <w:tcW w:type="dxa" w:w="1278"/>
          </w:tcPr>
          <w:p>
            <w:pPr>
              <w:spacing w:after="0"/>
            </w:pPr>
            <w:r>
              <w:rPr>
                <w:sz w:val="14"/>
              </w:rPr>
              <w:t>Không free-entry</w:t>
            </w:r>
          </w:p>
        </w:tc>
        <w:tc>
          <w:tcPr>
            <w:tcW w:type="dxa" w:w="1278"/>
          </w:tcPr>
          <w:p>
            <w:pPr>
              <w:spacing w:after="0"/>
            </w:pPr>
            <w:r>
              <w:rPr>
                <w:sz w:val="14"/>
              </w:rPr>
              <w:t>Không</w:t>
            </w:r>
          </w:p>
        </w:tc>
        <w:tc>
          <w:tcPr>
            <w:tcW w:type="dxa" w:w="1278"/>
          </w:tcPr>
          <w:p>
            <w:pPr>
              <w:spacing w:after="0"/>
            </w:pPr>
            <w:r>
              <w:rPr>
                <w:sz w:val="14"/>
              </w:rPr>
              <w:t>Command/API</w:t>
            </w:r>
          </w:p>
        </w:tc>
        <w:tc>
          <w:tcPr>
            <w:tcW w:type="dxa" w:w="1278"/>
          </w:tcPr>
          <w:p>
            <w:pPr>
              <w:spacing w:after="0"/>
            </w:pPr>
            <w:r>
              <w:rPr>
                <w:sz w:val="14"/>
              </w:rPr>
              <w:t>LCMS</w:t>
            </w:r>
          </w:p>
        </w:tc>
        <w:tc>
          <w:tcPr>
            <w:tcW w:type="dxa" w:w="1278"/>
          </w:tcPr>
          <w:p>
            <w:pPr>
              <w:spacing w:after="0"/>
            </w:pPr>
            <w:r>
              <w:rPr>
                <w:sz w:val="14"/>
              </w:rPr>
              <w:t>N:N settlement allocation.</w:t>
            </w:r>
          </w:p>
        </w:tc>
      </w:tr>
      <w:tr>
        <w:tc>
          <w:tcPr>
            <w:tcW w:type="dxa" w:w="1278"/>
          </w:tcPr>
          <w:p>
            <w:pPr>
              <w:spacing w:after="0"/>
            </w:pPr>
            <w:r>
              <w:rPr>
                <w:sz w:val="14"/>
              </w:rPr>
              <w:t>Reconciliation / Variance</w:t>
            </w:r>
          </w:p>
        </w:tc>
        <w:tc>
          <w:tcPr>
            <w:tcW w:type="dxa" w:w="1278"/>
          </w:tcPr>
          <w:p>
            <w:pPr>
              <w:spacing w:after="0"/>
            </w:pPr>
            <w:r>
              <w:rPr>
                <w:sz w:val="14"/>
              </w:rPr>
              <w:t>D10</w:t>
            </w:r>
          </w:p>
        </w:tc>
        <w:tc>
          <w:tcPr>
            <w:tcW w:type="dxa" w:w="1278"/>
          </w:tcPr>
          <w:p>
            <w:pPr>
              <w:spacing w:after="0"/>
            </w:pPr>
            <w:r>
              <w:rPr>
                <w:sz w:val="14"/>
              </w:rPr>
              <w:t>C</w:t>
            </w:r>
          </w:p>
        </w:tc>
        <w:tc>
          <w:tcPr>
            <w:tcW w:type="dxa" w:w="1278"/>
          </w:tcPr>
          <w:p>
            <w:pPr>
              <w:spacing w:after="0"/>
            </w:pPr>
            <w:r>
              <w:rPr>
                <w:sz w:val="14"/>
              </w:rPr>
              <w:t>Manual trigger/match only</w:t>
            </w:r>
          </w:p>
        </w:tc>
        <w:tc>
          <w:tcPr>
            <w:tcW w:type="dxa" w:w="1278"/>
          </w:tcPr>
          <w:p>
            <w:pPr>
              <w:spacing w:after="0"/>
            </w:pPr>
            <w:r>
              <w:rPr>
                <w:sz w:val="14"/>
              </w:rPr>
              <w:t>Không free-entry</w:t>
            </w:r>
          </w:p>
        </w:tc>
        <w:tc>
          <w:tcPr>
            <w:tcW w:type="dxa" w:w="1278"/>
          </w:tcPr>
          <w:p>
            <w:pPr>
              <w:spacing w:after="0"/>
            </w:pPr>
            <w:r>
              <w:rPr>
                <w:sz w:val="14"/>
              </w:rPr>
              <w:t>Command/API</w:t>
            </w:r>
          </w:p>
        </w:tc>
        <w:tc>
          <w:tcPr>
            <w:tcW w:type="dxa" w:w="1278"/>
          </w:tcPr>
          <w:p>
            <w:pPr>
              <w:spacing w:after="0"/>
            </w:pPr>
            <w:r>
              <w:rPr>
                <w:sz w:val="14"/>
              </w:rPr>
              <w:t>LCMS</w:t>
            </w:r>
          </w:p>
        </w:tc>
        <w:tc>
          <w:tcPr>
            <w:tcW w:type="dxa" w:w="1278"/>
          </w:tcPr>
          <w:p>
            <w:pPr>
              <w:spacing w:after="0"/>
            </w:pPr>
            <w:r>
              <w:rPr>
                <w:sz w:val="14"/>
              </w:rPr>
              <w:t>Variance derived.</w:t>
            </w:r>
          </w:p>
        </w:tc>
      </w:tr>
      <w:tr>
        <w:tc>
          <w:tcPr>
            <w:tcW w:type="dxa" w:w="1278"/>
          </w:tcPr>
          <w:p>
            <w:pPr>
              <w:spacing w:after="0"/>
            </w:pPr>
            <w:r>
              <w:rPr>
                <w:sz w:val="14"/>
              </w:rPr>
              <w:t>Exception / Approval</w:t>
            </w:r>
          </w:p>
        </w:tc>
        <w:tc>
          <w:tcPr>
            <w:tcW w:type="dxa" w:w="1278"/>
          </w:tcPr>
          <w:p>
            <w:pPr>
              <w:spacing w:after="0"/>
            </w:pPr>
            <w:r>
              <w:rPr>
                <w:sz w:val="14"/>
              </w:rPr>
              <w:t>D10</w:t>
            </w:r>
          </w:p>
        </w:tc>
        <w:tc>
          <w:tcPr>
            <w:tcW w:type="dxa" w:w="1278"/>
          </w:tcPr>
          <w:p>
            <w:pPr>
              <w:spacing w:after="0"/>
            </w:pPr>
            <w:r>
              <w:rPr>
                <w:sz w:val="14"/>
              </w:rPr>
              <w:t>C</w:t>
            </w:r>
          </w:p>
        </w:tc>
        <w:tc>
          <w:tcPr>
            <w:tcW w:type="dxa" w:w="1278"/>
          </w:tcPr>
          <w:p>
            <w:pPr>
              <w:spacing w:after="0"/>
            </w:pPr>
            <w:r>
              <w:rPr>
                <w:sz w:val="14"/>
              </w:rPr>
              <w:t>Raise/resolve/decision theo workflow</w:t>
            </w:r>
          </w:p>
        </w:tc>
        <w:tc>
          <w:tcPr>
            <w:tcW w:type="dxa" w:w="1278"/>
          </w:tcPr>
          <w:p>
            <w:pPr>
              <w:spacing w:after="0"/>
            </w:pPr>
            <w:r>
              <w:rPr>
                <w:sz w:val="14"/>
              </w:rPr>
              <w:t>Không free-entry</w:t>
            </w:r>
          </w:p>
        </w:tc>
        <w:tc>
          <w:tcPr>
            <w:tcW w:type="dxa" w:w="1278"/>
          </w:tcPr>
          <w:p>
            <w:pPr>
              <w:spacing w:after="0"/>
            </w:pPr>
            <w:r>
              <w:rPr>
                <w:sz w:val="14"/>
              </w:rPr>
              <w:t>Command/API</w:t>
            </w:r>
          </w:p>
        </w:tc>
        <w:tc>
          <w:tcPr>
            <w:tcW w:type="dxa" w:w="1278"/>
          </w:tcPr>
          <w:p>
            <w:pPr>
              <w:spacing w:after="0"/>
            </w:pPr>
            <w:r>
              <w:rPr>
                <w:sz w:val="14"/>
              </w:rPr>
              <w:t>LCMS</w:t>
            </w:r>
          </w:p>
        </w:tc>
        <w:tc>
          <w:tcPr>
            <w:tcW w:type="dxa" w:w="1278"/>
          </w:tcPr>
          <w:p>
            <w:pPr>
              <w:spacing w:after="0"/>
            </w:pPr>
            <w:r>
              <w:rPr>
                <w:sz w:val="14"/>
              </w:rPr>
              <w:t>Maker-checker.</w:t>
            </w:r>
          </w:p>
        </w:tc>
      </w:tr>
      <w:tr>
        <w:tc>
          <w:tcPr>
            <w:tcW w:type="dxa" w:w="1278"/>
          </w:tcPr>
          <w:p>
            <w:pPr>
              <w:spacing w:after="0"/>
            </w:pPr>
            <w:r>
              <w:rPr>
                <w:sz w:val="14"/>
              </w:rPr>
              <w:t>Financial Close / Snapshot</w:t>
            </w:r>
          </w:p>
        </w:tc>
        <w:tc>
          <w:tcPr>
            <w:tcW w:type="dxa" w:w="1278"/>
          </w:tcPr>
          <w:p>
            <w:pPr>
              <w:spacing w:after="0"/>
            </w:pPr>
            <w:r>
              <w:rPr>
                <w:sz w:val="14"/>
              </w:rPr>
              <w:t>D11</w:t>
            </w:r>
          </w:p>
        </w:tc>
        <w:tc>
          <w:tcPr>
            <w:tcW w:type="dxa" w:w="1278"/>
          </w:tcPr>
          <w:p>
            <w:pPr>
              <w:spacing w:after="0"/>
            </w:pPr>
            <w:r>
              <w:rPr>
                <w:sz w:val="14"/>
              </w:rPr>
              <w:t>C/D</w:t>
            </w:r>
          </w:p>
        </w:tc>
        <w:tc>
          <w:tcPr>
            <w:tcW w:type="dxa" w:w="1278"/>
          </w:tcPr>
          <w:p>
            <w:pPr>
              <w:spacing w:after="0"/>
            </w:pPr>
            <w:r>
              <w:rPr>
                <w:sz w:val="14"/>
              </w:rPr>
              <w:t>Close/Reopen command</w:t>
            </w:r>
          </w:p>
        </w:tc>
        <w:tc>
          <w:tcPr>
            <w:tcW w:type="dxa" w:w="1278"/>
          </w:tcPr>
          <w:p>
            <w:pPr>
              <w:spacing w:after="0"/>
            </w:pPr>
            <w:r>
              <w:rPr>
                <w:sz w:val="14"/>
              </w:rPr>
              <w:t>Không</w:t>
            </w:r>
          </w:p>
        </w:tc>
        <w:tc>
          <w:tcPr>
            <w:tcW w:type="dxa" w:w="1278"/>
          </w:tcPr>
          <w:p>
            <w:pPr>
              <w:spacing w:after="0"/>
            </w:pPr>
            <w:r>
              <w:rPr>
                <w:sz w:val="14"/>
              </w:rPr>
              <w:t>Command/API</w:t>
            </w:r>
          </w:p>
        </w:tc>
        <w:tc>
          <w:tcPr>
            <w:tcW w:type="dxa" w:w="1278"/>
          </w:tcPr>
          <w:p>
            <w:pPr>
              <w:spacing w:after="0"/>
            </w:pPr>
            <w:r>
              <w:rPr>
                <w:sz w:val="14"/>
              </w:rPr>
              <w:t>LCMS</w:t>
            </w:r>
          </w:p>
        </w:tc>
        <w:tc>
          <w:tcPr>
            <w:tcW w:type="dxa" w:w="1278"/>
          </w:tcPr>
          <w:p>
            <w:pPr>
              <w:spacing w:after="0"/>
            </w:pPr>
            <w:r>
              <w:rPr>
                <w:sz w:val="14"/>
              </w:rPr>
              <w:t>Snapshot immutable.</w:t>
            </w:r>
          </w:p>
        </w:tc>
      </w:tr>
      <w:tr>
        <w:tc>
          <w:tcPr>
            <w:tcW w:type="dxa" w:w="1278"/>
          </w:tcPr>
          <w:p>
            <w:pPr>
              <w:spacing w:after="0"/>
            </w:pPr>
            <w:r>
              <w:rPr>
                <w:sz w:val="14"/>
              </w:rPr>
              <w:t>Integration Record/Error / Audit Event</w:t>
            </w:r>
          </w:p>
        </w:tc>
        <w:tc>
          <w:tcPr>
            <w:tcW w:type="dxa" w:w="1278"/>
          </w:tcPr>
          <w:p>
            <w:pPr>
              <w:spacing w:after="0"/>
            </w:pPr>
            <w:r>
              <w:rPr>
                <w:sz w:val="14"/>
              </w:rPr>
              <w:t>D12</w:t>
            </w:r>
          </w:p>
        </w:tc>
        <w:tc>
          <w:tcPr>
            <w:tcW w:type="dxa" w:w="1278"/>
          </w:tcPr>
          <w:p>
            <w:pPr>
              <w:spacing w:after="0"/>
            </w:pPr>
            <w:r>
              <w:rPr>
                <w:sz w:val="14"/>
              </w:rPr>
              <w:t>D</w:t>
            </w:r>
          </w:p>
        </w:tc>
        <w:tc>
          <w:tcPr>
            <w:tcW w:type="dxa" w:w="1278"/>
          </w:tcPr>
          <w:p>
            <w:pPr>
              <w:spacing w:after="0"/>
            </w:pPr>
            <w:r>
              <w:rPr>
                <w:sz w:val="14"/>
              </w:rPr>
              <w:t>Không</w:t>
            </w:r>
          </w:p>
        </w:tc>
        <w:tc>
          <w:tcPr>
            <w:tcW w:type="dxa" w:w="1278"/>
          </w:tcPr>
          <w:p>
            <w:pPr>
              <w:spacing w:after="0"/>
            </w:pPr>
            <w:r>
              <w:rPr>
                <w:sz w:val="14"/>
              </w:rPr>
              <w:t>Không</w:t>
            </w:r>
          </w:p>
        </w:tc>
        <w:tc>
          <w:tcPr>
            <w:tcW w:type="dxa" w:w="1278"/>
          </w:tcPr>
          <w:p>
            <w:pPr>
              <w:spacing w:after="0"/>
            </w:pPr>
            <w:r>
              <w:rPr>
                <w:sz w:val="14"/>
              </w:rPr>
              <w:t>System integration</w:t>
            </w:r>
          </w:p>
        </w:tc>
        <w:tc>
          <w:tcPr>
            <w:tcW w:type="dxa" w:w="1278"/>
          </w:tcPr>
          <w:p>
            <w:pPr>
              <w:spacing w:after="0"/>
            </w:pPr>
            <w:r>
              <w:rPr>
                <w:sz w:val="14"/>
              </w:rPr>
              <w:t>LCMS</w:t>
            </w:r>
          </w:p>
        </w:tc>
        <w:tc>
          <w:tcPr>
            <w:tcW w:type="dxa" w:w="1278"/>
          </w:tcPr>
          <w:p>
            <w:pPr>
              <w:spacing w:after="0"/>
            </w:pPr>
            <w:r>
              <w:rPr>
                <w:sz w:val="14"/>
              </w:rPr>
              <w:t>Append-only/traceable.</w:t>
            </w:r>
          </w:p>
        </w:tc>
      </w:tr>
    </w:tbl>
    <w:p>
      <w:pPr>
        <w:pStyle w:val="Heading1"/>
      </w:pPr>
      <w:r>
        <w:t>5. Yêu cầu triển khai bắt buộc cho DEV</w:t>
      </w:r>
    </w:p>
    <w:p>
      <w:pPr>
        <w:pStyle w:val="ListBullet"/>
      </w:pPr>
      <w:r>
        <w:t>DEV phải bổ sung source_type/source_system/external identity/import batch/manual provenance phù hợp để mọi dữ liệu nhập vào đều truy vết được nguồn.</w:t>
      </w:r>
    </w:p>
    <w:p>
      <w:pPr>
        <w:pStyle w:val="ListBullet"/>
      </w:pPr>
      <w:r>
        <w:t>Manual Entry và Import phải gọi cùng canonical application command/domain validation với API integration; không tạo đường tắt ghi DB.</w:t>
      </w:r>
    </w:p>
    <w:p>
      <w:pPr>
        <w:pStyle w:val="ListBullet"/>
      </w:pPr>
      <w:r>
        <w:t>Tenant capability quyết định phương thức input được bật; không fork business model theo Small/Medium/Large.</w:t>
      </w:r>
    </w:p>
    <w:p>
      <w:pPr>
        <w:pStyle w:val="ListBullet"/>
      </w:pPr>
      <w:r>
        <w:t>Nếu Tenant cấu hình external system là Source of Truth, dữ liệu manual phải tuân policy: có thể bị hạn chế sửa các field do external source sở hữu, nhưng LCMS vẫn phải có chế độ standalone khi không có source đó.</w:t>
      </w:r>
    </w:p>
    <w:p>
      <w:pPr>
        <w:pStyle w:val="ListBullet"/>
      </w:pPr>
      <w:r>
        <w:t>Import phải có validate → preview/error report → idempotency/deduplication → commit; không silently guess mapping.</w:t>
      </w:r>
    </w:p>
    <w:p>
      <w:pPr>
        <w:pStyle w:val="ListBullet"/>
      </w:pPr>
      <w:r>
        <w:t>D03 Manual Reference Entry chỉ tạo tham chiếu và relationship cần cho tài chính; không bổ sung dispatch/planning/tracking operational workflow.</w:t>
      </w:r>
    </w:p>
    <w:p>
      <w:pPr>
        <w:pStyle w:val="ListBullet"/>
      </w:pPr>
      <w:r>
        <w:t>D04 phải có UI/API quản trị Rate Card/Version/Rule trực tiếp trong LCMS; Rating Result vẫn system-generated.</w:t>
      </w:r>
    </w:p>
    <w:p>
      <w:pPr>
        <w:pStyle w:val="ListBullet"/>
      </w:pPr>
      <w:r>
        <w:t>D09 phải cho phép ghi nhận Payment/Collection thủ công có kiểm soát khi không tích hợp Bank/ERP; việc tồn tại cash transaction không tự động đồng nghĩa đã settlement.</w:t>
      </w:r>
    </w:p>
    <w:p>
      <w:pPr>
        <w:pStyle w:val="ListBullet"/>
      </w:pPr>
      <w:r>
        <w:t>Derived/control objects D05/D08/D10/D11 không được biến thành CRUD tự do.</w:t>
      </w:r>
    </w:p>
    <w:p>
      <w:pPr>
        <w:pStyle w:val="ListBullet"/>
      </w:pPr>
      <w:r>
        <w:t>Audit/permission/Vietnamese UX Language Rule áp dụng đồng nhất cho mọi phương thức Manual/Import/API.</w:t>
      </w:r>
    </w:p>
    <w:p>
      <w:pPr>
        <w:pStyle w:val="Heading1"/>
      </w:pPr>
      <w:r>
        <w:t>6. Acceptance Criteria tổng quát</w:t>
      </w:r>
    </w:p>
    <w:p>
      <w:pPr>
        <w:pStyle w:val="ListBullet"/>
      </w:pPr>
      <w:r>
        <w:t>AC-SCP-01: Một Tenant mới không tích hợp TMS/ERP/CRM/Rate/Bank vẫn cấu hình được Master Data tối thiểu, tạo Operational References cần thiết, Rate, Cost, Revenue, Document và Payment/Collection để chạy luồng LCMS.</w:t>
      </w:r>
    </w:p>
    <w:p>
      <w:pPr>
        <w:pStyle w:val="ListBullet"/>
      </w:pPr>
      <w:r>
        <w:t>AC-SCP-02: Không có màn hình/chức năng core nào bị vô hiệu chỉ vì thiếu connector bên ngoài, trừ capability được PO/Tenant chủ động tắt.</w:t>
      </w:r>
    </w:p>
    <w:p>
      <w:pPr>
        <w:pStyle w:val="ListBullet"/>
      </w:pPr>
      <w:r>
        <w:t>AC-SCP-03: Manual/Import/API tạo cùng semantic business object, cùng validation/invariant và có source provenance.</w:t>
      </w:r>
    </w:p>
    <w:p>
      <w:pPr>
        <w:pStyle w:val="ListBullet"/>
      </w:pPr>
      <w:r>
        <w:t>AC-SCP-04: Khi external source được cấu hình là SoT, ownership và conflict policy được enforce; không silent overwrite.</w:t>
      </w:r>
    </w:p>
    <w:p>
      <w:pPr>
        <w:pStyle w:val="ListBullet"/>
      </w:pPr>
      <w:r>
        <w:t>AC-SCP-05: Các object derive/control không có generic CRUD endpoint/UI cho phép tạo economic/control fact tùy ý.</w:t>
      </w:r>
    </w:p>
    <w:p>
      <w:pPr>
        <w:pStyle w:val="ListBullet"/>
      </w:pPr>
      <w:r>
        <w:t>AC-SCP-06: D03 có LIST/SEARCH/DETAIL/RELATIONSHIP/CROSS-NAV và Manual/Import/API input; không mở rộng thành TMS.</w:t>
      </w:r>
    </w:p>
    <w:p>
      <w:pPr>
        <w:pStyle w:val="ListBullet"/>
      </w:pPr>
      <w:r>
        <w:t>AC-SCP-07: D04 Rate master có Manual/Import/API; Rating snapshot immutable.</w:t>
      </w:r>
    </w:p>
    <w:p>
      <w:pPr>
        <w:pStyle w:val="ListBullet"/>
      </w:pPr>
      <w:r>
        <w:t>AC-SCP-08: D09 Payment/Collection hỗ trợ manual capture + import/API với audit và settlement tách biệt.</w:t>
      </w:r>
    </w:p>
    <w:p>
      <w:pPr>
        <w:pStyle w:val="ListBullet"/>
      </w:pPr>
      <w:r>
        <w:t>AC-SCP-09: Import lỗi phải trả lỗi theo dòng/field và không commit một phần ngoài policy transaction được định nghĩa.</w:t>
      </w:r>
    </w:p>
    <w:p>
      <w:pPr>
        <w:pStyle w:val="ListBullet"/>
      </w:pPr>
      <w:r>
        <w:t>AC-SCP-10: Permission/Data Scope/Audit/Close protection áp dụng cho mọi input channel.</w:t>
      </w:r>
    </w:p>
    <w:p>
      <w:pPr>
        <w:pStyle w:val="Heading1"/>
      </w:pPr>
      <w:r>
        <w:t>7. Ưu tiên fix đề xuất</w:t>
      </w:r>
    </w:p>
    <w:p>
      <w:r>
        <w:t>P0 — Kiến trúc/capability: D02, D03, D04, D09 và shared input-source framework.</w:t>
      </w:r>
    </w:p>
    <w:p>
      <w:r>
        <w:t>P1 — UI/API completeness: Master Data CRUD/import, Operational Reference workspace, Rate master management, Payment/Collection manual capture.</w:t>
      </w:r>
    </w:p>
    <w:p>
      <w:r>
        <w:t>P2 — Import UX, source ownership/conflict policy, integration adapters và monitoring hoàn thiện theo từng Tenant.</w:t>
      </w:r>
    </w:p>
    <w:p>
      <w:r>
        <w:t>Không yêu cầu ADR mở rộng sang TMS/ERP. Đây là completion/correction của LCMS standalone baseline.</w:t>
      </w:r>
    </w:p>
    <w:p>
      <w:pPr>
        <w:pStyle w:val="Heading1"/>
      </w:pPr>
      <w:r>
        <w:t>8. Decision Log bổ sung</w:t>
      </w:r>
    </w:p>
    <w:p>
      <w:r>
        <w:t>[PO CONFIRMED] SCP-001 — LCMS là standalone commercial product.</w:t>
      </w:r>
    </w:p>
    <w:p>
      <w:r>
        <w:t>[ARCHITECTURE AGREED] SCP-002 — Manual / Import / API-Integration là input channels theo object/capability/SoT policy.</w:t>
      </w:r>
    </w:p>
    <w:p>
      <w:r>
        <w:t>[ARCHITECTURE AGREED] SCP-003 — D03 Operational References hỗ trợ Manual Reference Entry nhưng không trở thành TMS.</w:t>
      </w:r>
    </w:p>
    <w:p>
      <w:r>
        <w:t>[ARCHITECTURE AGREED] SCP-004 — Derived/control/system objects không được CRUD tự do.</w:t>
      </w:r>
    </w:p>
    <w:p>
      <w:r>
        <w:t>[ARCHITECTURE AGREED] SCP-005 — External system là SoT chỉ khi Tenant cấu hình/tích hợp nguồn đó; absence of connector không được khóa core LCMS.</w:t>
      </w:r>
    </w:p>
    <w:p>
      <w:r>
        <w:t>Standalone Architecture Review D01–D12: 100% — COMPLETED / PACKAGED. Không còn [CẦN QUYẾT ĐỊNH].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