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LCMS</w:t>
      </w:r>
    </w:p>
    <w:p>
      <w:pPr>
        <w:jc w:val="center"/>
      </w:pPr>
      <w:r>
        <w:rPr>
          <w:b/>
          <w:sz w:val="36"/>
        </w:rPr>
        <w:t>02A — OPERATIONAL REFERENCE DATA &amp; FIELD SPECIFICATION</w:t>
      </w:r>
    </w:p>
    <w:p>
      <w:pPr>
        <w:jc w:val="center"/>
      </w:pPr>
      <w:r>
        <w:rPr>
          <w:i/>
        </w:rPr>
        <w:t>Đặc tả nghiệp vụ và dữ liệu tham chiếu vận hành</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rFonts w:ascii="Arial" w:hAnsi="Arial"/>
                <w:b/>
                <w:color w:val="FFFFFF"/>
                <w:sz w:val="16"/>
              </w:rPr>
              <w:t>Thuộc tính</w:t>
            </w:r>
          </w:p>
        </w:tc>
        <w:tc>
          <w:tcPr>
            <w:tcW w:type="dxa" w:w="7488"/>
            <w:vAlign w:val="center"/>
            <w:shd w:fill="1F4E78"/>
          </w:tcPr>
          <w:p>
            <w:r/>
            <w:r>
              <w:rPr>
                <w:rFonts w:ascii="Arial" w:hAnsi="Arial"/>
                <w:b/>
                <w:color w:val="FFFFFF"/>
                <w:sz w:val="16"/>
              </w:rPr>
              <w:t>Giá trị</w:t>
            </w:r>
          </w:p>
        </w:tc>
      </w:tr>
      <w:tr>
        <w:tc>
          <w:tcPr>
            <w:tcW w:type="dxa" w:w="2880"/>
            <w:vAlign w:val="center"/>
          </w:tcPr>
          <w:p>
            <w:r/>
            <w:r>
              <w:rPr>
                <w:rFonts w:ascii="Arial" w:hAnsi="Arial"/>
                <w:b w:val="0"/>
                <w:sz w:val="16"/>
              </w:rPr>
              <w:t>Phiên bản</w:t>
            </w:r>
          </w:p>
        </w:tc>
        <w:tc>
          <w:tcPr>
            <w:tcW w:type="dxa" w:w="7488"/>
            <w:vAlign w:val="center"/>
          </w:tcPr>
          <w:p>
            <w:r/>
            <w:r>
              <w:rPr>
                <w:rFonts w:ascii="Arial" w:hAnsi="Arial"/>
                <w:b w:val="0"/>
                <w:sz w:val="16"/>
              </w:rPr>
              <w:t>v1.0</w:t>
            </w:r>
          </w:p>
        </w:tc>
      </w:tr>
      <w:tr>
        <w:tc>
          <w:tcPr>
            <w:tcW w:type="dxa" w:w="2880"/>
            <w:vAlign w:val="center"/>
          </w:tcPr>
          <w:p>
            <w:r/>
            <w:r>
              <w:rPr>
                <w:rFonts w:ascii="Arial" w:hAnsi="Arial"/>
                <w:b w:val="0"/>
                <w:sz w:val="16"/>
              </w:rPr>
              <w:t>Trạng thái</w:t>
            </w:r>
          </w:p>
        </w:tc>
        <w:tc>
          <w:tcPr>
            <w:tcW w:type="dxa" w:w="7488"/>
            <w:vAlign w:val="center"/>
          </w:tcPr>
          <w:p>
            <w:r/>
            <w:r>
              <w:rPr>
                <w:rFonts w:ascii="Arial" w:hAnsi="Arial"/>
                <w:b w:val="0"/>
                <w:sz w:val="16"/>
              </w:rPr>
              <w:t>MASTER / DEV IMPLEMENTATION BASELINE</w:t>
            </w:r>
          </w:p>
        </w:tc>
      </w:tr>
      <w:tr>
        <w:tc>
          <w:tcPr>
            <w:tcW w:type="dxa" w:w="2880"/>
            <w:vAlign w:val="center"/>
          </w:tcPr>
          <w:p>
            <w:r/>
            <w:r>
              <w:rPr>
                <w:rFonts w:ascii="Arial" w:hAnsi="Arial"/>
                <w:b w:val="0"/>
                <w:sz w:val="16"/>
              </w:rPr>
              <w:t>Phạm vi</w:t>
            </w:r>
          </w:p>
        </w:tc>
        <w:tc>
          <w:tcPr>
            <w:tcW w:type="dxa" w:w="7488"/>
            <w:vAlign w:val="center"/>
          </w:tcPr>
          <w:p>
            <w:r/>
            <w:r>
              <w:rPr>
                <w:rFonts w:ascii="Arial" w:hAnsi="Arial"/>
                <w:b w:val="0"/>
                <w:sz w:val="16"/>
              </w:rPr>
              <w:t>D02 Master Data + D03 Operational Reference + giao tiếp D04 Rating Context</w:t>
            </w:r>
          </w:p>
        </w:tc>
      </w:tr>
      <w:tr>
        <w:tc>
          <w:tcPr>
            <w:tcW w:type="dxa" w:w="2880"/>
            <w:vAlign w:val="center"/>
          </w:tcPr>
          <w:p>
            <w:r/>
            <w:r>
              <w:rPr>
                <w:rFonts w:ascii="Arial" w:hAnsi="Arial"/>
                <w:b w:val="0"/>
                <w:sz w:val="16"/>
              </w:rPr>
              <w:t>Tài liệu đi kèm</w:t>
            </w:r>
          </w:p>
        </w:tc>
        <w:tc>
          <w:tcPr>
            <w:tcW w:type="dxa" w:w="7488"/>
            <w:vAlign w:val="center"/>
          </w:tcPr>
          <w:p>
            <w:r/>
            <w:r>
              <w:rPr>
                <w:rFonts w:ascii="Arial" w:hAnsi="Arial"/>
                <w:b w:val="0"/>
                <w:sz w:val="16"/>
              </w:rPr>
              <w:t>02B — LCMS_02_Operational_Reference_Data_Field_Specification_v1.0.xlsx</w:t>
            </w:r>
          </w:p>
        </w:tc>
      </w:tr>
      <w:tr>
        <w:tc>
          <w:tcPr>
            <w:tcW w:type="dxa" w:w="2880"/>
            <w:vAlign w:val="center"/>
          </w:tcPr>
          <w:p>
            <w:r/>
            <w:r>
              <w:rPr>
                <w:rFonts w:ascii="Arial" w:hAnsi="Arial"/>
                <w:b w:val="0"/>
                <w:sz w:val="16"/>
              </w:rPr>
              <w:t>Mục tiêu</w:t>
            </w:r>
          </w:p>
        </w:tc>
        <w:tc>
          <w:tcPr>
            <w:tcW w:type="dxa" w:w="7488"/>
            <w:vAlign w:val="center"/>
          </w:tcPr>
          <w:p>
            <w:r/>
            <w:r>
              <w:rPr>
                <w:rFonts w:ascii="Arial" w:hAnsi="Arial"/>
                <w:b w:val="0"/>
                <w:sz w:val="16"/>
              </w:rPr>
              <w:t>Khóa cách hiểu nghiệp vụ, ownership dữ liệu, field-level contract, source/SoT, validation, snapshot và ranh giới LCMS/TMS trước khi DEV triển khai.</w:t>
            </w:r>
          </w:p>
        </w:tc>
      </w:tr>
    </w:tbl>
    <w:p/>
    <w:p>
      <w:r>
        <w:br w:type="page"/>
      </w:r>
    </w:p>
    <w:p>
      <w:pPr>
        <w:pStyle w:val="Heading1"/>
      </w:pPr>
      <w:r>
        <w:t>1. Mục tiêu và vai trò của tài liệu</w:t>
      </w:r>
    </w:p>
    <w:p>
      <w:r>
        <w:t>Tài liệu này là phần diễn giải nghiệp vụ bắt buộc đi cùng Data/Field Matrix 02B. File 02B cho DEV biết field, object, relationship và acceptance ở dạng bảng; File 02A giải thích cách các object đó phải hoạt động trong LCMS để tránh triển khai đúng schema nhưng sai nghiệp vụ.</w:t>
      </w:r>
    </w:p>
    <w:p>
      <w:pPr>
        <w:pStyle w:val="ListBullet"/>
      </w:pPr>
      <w:r>
        <w:t>LCMS là hệ thống Quản lý Chi phí/Doanh thu/Kiểm soát tài chính cho logistics; không phải TMS vận hành.</w:t>
      </w:r>
    </w:p>
    <w:p>
      <w:pPr>
        <w:pStyle w:val="ListBullet"/>
      </w:pPr>
      <w:r>
        <w:t>Bill là Financial Anchor, nhưng không phải object vận hành duy nhất.</w:t>
      </w:r>
    </w:p>
    <w:p>
      <w:pPr>
        <w:pStyle w:val="ListBullet"/>
      </w:pPr>
      <w:r>
        <w:t>Order, Bill, Shipment, Chặng và Chuyến phải có thể tồn tại như Operational Reference và liên kết đúng cardinality đã khóa.</w:t>
      </w:r>
    </w:p>
    <w:p>
      <w:pPr>
        <w:pStyle w:val="ListBullet"/>
      </w:pPr>
      <w:r>
        <w:t>Standalone tenant không có TMS/ERP/API vẫn phải vận hành được bằng Manual Entry/Import khi capability cho phép.</w:t>
      </w:r>
    </w:p>
    <w:p>
      <w:pPr>
        <w:pStyle w:val="ListBullet"/>
      </w:pPr>
      <w:r>
        <w:t>Khi có Operational System tích hợp, hệ thống nguồn vẫn là Operational Source of Truth cho các field được cấu hình external-owned.</w:t>
      </w:r>
    </w:p>
    <w:p>
      <w:pPr>
        <w:pStyle w:val="ListBullet"/>
      </w:pPr>
      <w:r>
        <w:t>Dữ liệu dùng cho Rating/Allocation phải có canonical ownership và provenance rõ ràng; kết quả lịch sử không được bị thay đổi ngầm khi master/reference thay đổi.</w:t>
      </w:r>
    </w:p>
    <w:p>
      <w:pPr>
        <w:pStyle w:val="Heading1"/>
      </w:pPr>
      <w:r>
        <w:t>2. Nguyên tắc kiến trúc bắt buộc</w:t>
      </w:r>
    </w:p>
    <w:p>
      <w:r>
        <w:rPr>
          <w:b/>
          <w:color w:val="1F4E79"/>
        </w:rPr>
        <w:t xml:space="preserve">OR-P01 — Canonical Model </w:t>
      </w:r>
      <w:r>
        <w:t>Manual, Import và API không tạo ba mô hình dữ liệu khác nhau. Mọi channel phải đi qua cùng domain validation và ghi vào cùng canonical object.</w:t>
      </w:r>
    </w:p>
    <w:p>
      <w:r>
        <w:rPr>
          <w:b/>
          <w:color w:val="1F4E79"/>
        </w:rPr>
        <w:t xml:space="preserve">OR-P02 — Financial Anchor </w:t>
      </w:r>
      <w:r>
        <w:t>Bill là điểm neo tài chính để tổng hợp Cost/Revenue/AP/AR/Profitability, nhưng Order/Shipment/Chặng/Chuyến vẫn phải searchable, linkable và drill-down được.</w:t>
      </w:r>
    </w:p>
    <w:p>
      <w:r>
        <w:rPr>
          <w:b/>
          <w:color w:val="1F4E79"/>
        </w:rPr>
        <w:t xml:space="preserve">OR-P03 — Optional Operational Depth </w:t>
      </w:r>
      <w:r>
        <w:t>Shipment/Chặng/Chuyến là độ sâu vận hành tùy capability. Tenant nhỏ có thể chỉ dùng Bill mà vẫn Rating/Cost/Revenue được.</w:t>
      </w:r>
    </w:p>
    <w:p>
      <w:r>
        <w:rPr>
          <w:b/>
          <w:color w:val="1F4E79"/>
        </w:rPr>
        <w:t xml:space="preserve">OR-P04 — Source Ownership </w:t>
      </w:r>
      <w:r>
        <w:t>Field external-owned không được sửa tay tùy ý. Field LCMS-owned có thể được quản lý trong LCMS. Controlled override phải có permission, reason và audit.</w:t>
      </w:r>
    </w:p>
    <w:p>
      <w:r>
        <w:rPr>
          <w:b/>
          <w:color w:val="1F4E79"/>
        </w:rPr>
        <w:t xml:space="preserve">OR-P05 — Historical Snapshot </w:t>
      </w:r>
      <w:r>
        <w:t>Party/Rating Context quan trọng phải snapshot tại thời điểm giao dịch/tính giá. Thay đổi master sau đó không rewrite lịch sử.</w:t>
      </w:r>
    </w:p>
    <w:p>
      <w:r>
        <w:rPr>
          <w:b/>
          <w:color w:val="1F4E79"/>
        </w:rPr>
        <w:t xml:space="preserve">OR-P06 — No TMS Expansion </w:t>
      </w:r>
      <w:r>
        <w:t>Không đưa dispatch, tài xế, GPS, e-POD, lập kế hoạch tuyến, warehouse execution hoặc container tracking vào D03.</w:t>
      </w:r>
    </w:p>
    <w:p>
      <w:r>
        <w:rPr>
          <w:b/>
          <w:color w:val="1F4E79"/>
        </w:rPr>
        <w:t xml:space="preserve">OR-P07 — Measurement Integrity </w:t>
      </w:r>
      <w:r>
        <w:t>Gross Weight, Volume, Volumetric Weight, Chargeable Weight phải có owner, UOM, source và rule trace; không duplicate giá trị không kiểm soát.</w:t>
      </w:r>
    </w:p>
    <w:p>
      <w:pPr>
        <w:pStyle w:val="Heading1"/>
      </w:pPr>
      <w:r>
        <w:t>3. Mô hình nghiệp vụ tổng thể</w:t>
      </w:r>
    </w:p>
    <w:p>
      <w:r>
        <w:t>Chuỗi tham chiếu chuẩn:</w:t>
      </w:r>
    </w:p>
    <w:p>
      <w:pPr>
        <w:jc w:val="center"/>
      </w:pPr>
      <w:r>
        <w:rPr>
          <w:b/>
          <w:color w:val="1F4E79"/>
          <w:sz w:val="28"/>
        </w:rPr>
        <w:t>Order  →  Bill  →  Shipment  →  Chặng  →  Chuyến</w:t>
      </w:r>
    </w:p>
    <w:p>
      <w:r>
        <w:t>Đây là chuỗi điều hướng nghiệp vụ, không phải cardinality cứng. Các quan hệ vật lý bắt buộc:</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8"/>
          </w:tcPr>
          <w:p>
            <w:r/>
            <w:r>
              <w:rPr>
                <w:rFonts w:ascii="Arial" w:hAnsi="Arial"/>
                <w:b/>
                <w:color w:val="FFFFFF"/>
                <w:sz w:val="16"/>
              </w:rPr>
              <w:t>Quan hệ</w:t>
            </w:r>
          </w:p>
        </w:tc>
        <w:tc>
          <w:tcPr>
            <w:tcW w:type="dxa" w:w="1728"/>
            <w:vAlign w:val="center"/>
            <w:shd w:fill="1F4E78"/>
          </w:tcPr>
          <w:p>
            <w:r/>
            <w:r>
              <w:rPr>
                <w:rFonts w:ascii="Arial" w:hAnsi="Arial"/>
                <w:b/>
                <w:color w:val="FFFFFF"/>
                <w:sz w:val="16"/>
              </w:rPr>
              <w:t>Cardinality</w:t>
            </w:r>
          </w:p>
        </w:tc>
        <w:tc>
          <w:tcPr>
            <w:tcW w:type="dxa" w:w="5760"/>
            <w:vAlign w:val="center"/>
            <w:shd w:fill="1F4E78"/>
          </w:tcPr>
          <w:p>
            <w:r/>
            <w:r>
              <w:rPr>
                <w:rFonts w:ascii="Arial" w:hAnsi="Arial"/>
                <w:b/>
                <w:color w:val="FFFFFF"/>
                <w:sz w:val="16"/>
              </w:rPr>
              <w:t>Quy tắc</w:t>
            </w:r>
          </w:p>
        </w:tc>
      </w:tr>
      <w:tr>
        <w:tc>
          <w:tcPr>
            <w:tcW w:type="dxa" w:w="3168"/>
            <w:vAlign w:val="center"/>
          </w:tcPr>
          <w:p>
            <w:r/>
            <w:r>
              <w:rPr>
                <w:rFonts w:ascii="Arial" w:hAnsi="Arial"/>
                <w:b w:val="0"/>
                <w:sz w:val="16"/>
              </w:rPr>
              <w:t>Order ↔ Bill</w:t>
            </w:r>
          </w:p>
        </w:tc>
        <w:tc>
          <w:tcPr>
            <w:tcW w:type="dxa" w:w="1728"/>
            <w:vAlign w:val="center"/>
          </w:tcPr>
          <w:p>
            <w:r/>
            <w:r>
              <w:rPr>
                <w:rFonts w:ascii="Arial" w:hAnsi="Arial"/>
                <w:b w:val="0"/>
                <w:sz w:val="16"/>
              </w:rPr>
              <w:t>N:N</w:t>
            </w:r>
          </w:p>
        </w:tc>
        <w:tc>
          <w:tcPr>
            <w:tcW w:type="dxa" w:w="5760"/>
            <w:vAlign w:val="center"/>
          </w:tcPr>
          <w:p>
            <w:r/>
            <w:r>
              <w:rPr>
                <w:rFonts w:ascii="Arial" w:hAnsi="Arial"/>
                <w:b w:val="0"/>
                <w:sz w:val="16"/>
              </w:rPr>
              <w:t>Một Order có thể tạo nhiều Bill; một Bill có thể liên quan nhiều Order.</w:t>
            </w:r>
          </w:p>
        </w:tc>
      </w:tr>
      <w:tr>
        <w:tc>
          <w:tcPr>
            <w:tcW w:type="dxa" w:w="3168"/>
            <w:vAlign w:val="center"/>
          </w:tcPr>
          <w:p>
            <w:r/>
            <w:r>
              <w:rPr>
                <w:rFonts w:ascii="Arial" w:hAnsi="Arial"/>
                <w:b w:val="0"/>
                <w:sz w:val="16"/>
              </w:rPr>
              <w:t>Bill ↔ Shipment</w:t>
            </w:r>
          </w:p>
        </w:tc>
        <w:tc>
          <w:tcPr>
            <w:tcW w:type="dxa" w:w="1728"/>
            <w:vAlign w:val="center"/>
          </w:tcPr>
          <w:p>
            <w:r/>
            <w:r>
              <w:rPr>
                <w:rFonts w:ascii="Arial" w:hAnsi="Arial"/>
                <w:b w:val="0"/>
                <w:sz w:val="16"/>
              </w:rPr>
              <w:t>N:N</w:t>
            </w:r>
          </w:p>
        </w:tc>
        <w:tc>
          <w:tcPr>
            <w:tcW w:type="dxa" w:w="5760"/>
            <w:vAlign w:val="center"/>
          </w:tcPr>
          <w:p>
            <w:r/>
            <w:r>
              <w:rPr>
                <w:rFonts w:ascii="Arial" w:hAnsi="Arial"/>
                <w:b w:val="0"/>
                <w:sz w:val="16"/>
              </w:rPr>
              <w:t>Một Bill có thể đi qua nhiều Shipment; một Shipment có thể gom nhiều Bill.</w:t>
            </w:r>
          </w:p>
        </w:tc>
      </w:tr>
      <w:tr>
        <w:tc>
          <w:tcPr>
            <w:tcW w:type="dxa" w:w="3168"/>
            <w:vAlign w:val="center"/>
          </w:tcPr>
          <w:p>
            <w:r/>
            <w:r>
              <w:rPr>
                <w:rFonts w:ascii="Arial" w:hAnsi="Arial"/>
                <w:b w:val="0"/>
                <w:sz w:val="16"/>
              </w:rPr>
              <w:t>Shipment → Chặng</w:t>
            </w:r>
          </w:p>
        </w:tc>
        <w:tc>
          <w:tcPr>
            <w:tcW w:type="dxa" w:w="1728"/>
            <w:vAlign w:val="center"/>
          </w:tcPr>
          <w:p>
            <w:r/>
            <w:r>
              <w:rPr>
                <w:rFonts w:ascii="Arial" w:hAnsi="Arial"/>
                <w:b w:val="0"/>
                <w:sz w:val="16"/>
              </w:rPr>
              <w:t>1:N</w:t>
            </w:r>
          </w:p>
        </w:tc>
        <w:tc>
          <w:tcPr>
            <w:tcW w:type="dxa" w:w="5760"/>
            <w:vAlign w:val="center"/>
          </w:tcPr>
          <w:p>
            <w:r/>
            <w:r>
              <w:rPr>
                <w:rFonts w:ascii="Arial" w:hAnsi="Arial"/>
                <w:b w:val="0"/>
                <w:sz w:val="16"/>
              </w:rPr>
              <w:t>Một Shipment gồm nhiều chặng logic.</w:t>
            </w:r>
          </w:p>
        </w:tc>
      </w:tr>
      <w:tr>
        <w:tc>
          <w:tcPr>
            <w:tcW w:type="dxa" w:w="3168"/>
            <w:vAlign w:val="center"/>
          </w:tcPr>
          <w:p>
            <w:r/>
            <w:r>
              <w:rPr>
                <w:rFonts w:ascii="Arial" w:hAnsi="Arial"/>
                <w:b w:val="0"/>
                <w:sz w:val="16"/>
              </w:rPr>
              <w:t>Bill ↔ Chặng</w:t>
            </w:r>
          </w:p>
        </w:tc>
        <w:tc>
          <w:tcPr>
            <w:tcW w:type="dxa" w:w="1728"/>
            <w:vAlign w:val="center"/>
          </w:tcPr>
          <w:p>
            <w:r/>
            <w:r>
              <w:rPr>
                <w:rFonts w:ascii="Arial" w:hAnsi="Arial"/>
                <w:b w:val="0"/>
                <w:sz w:val="16"/>
              </w:rPr>
              <w:t>N:N</w:t>
            </w:r>
          </w:p>
        </w:tc>
        <w:tc>
          <w:tcPr>
            <w:tcW w:type="dxa" w:w="5760"/>
            <w:vAlign w:val="center"/>
          </w:tcPr>
          <w:p>
            <w:r/>
            <w:r>
              <w:rPr>
                <w:rFonts w:ascii="Arial" w:hAnsi="Arial"/>
                <w:b w:val="0"/>
                <w:sz w:val="16"/>
              </w:rPr>
              <w:t>Bill có thể đi qua nhiều chặng; chặng chứa nhiều Bill.</w:t>
            </w:r>
          </w:p>
        </w:tc>
      </w:tr>
      <w:tr>
        <w:tc>
          <w:tcPr>
            <w:tcW w:type="dxa" w:w="3168"/>
            <w:vAlign w:val="center"/>
          </w:tcPr>
          <w:p>
            <w:r/>
            <w:r>
              <w:rPr>
                <w:rFonts w:ascii="Arial" w:hAnsi="Arial"/>
                <w:b w:val="0"/>
                <w:sz w:val="16"/>
              </w:rPr>
              <w:t>Chặng ↔ Chuyến</w:t>
            </w:r>
          </w:p>
        </w:tc>
        <w:tc>
          <w:tcPr>
            <w:tcW w:type="dxa" w:w="1728"/>
            <w:vAlign w:val="center"/>
          </w:tcPr>
          <w:p>
            <w:r/>
            <w:r>
              <w:rPr>
                <w:rFonts w:ascii="Arial" w:hAnsi="Arial"/>
                <w:b w:val="0"/>
                <w:sz w:val="16"/>
              </w:rPr>
              <w:t>N:N</w:t>
            </w:r>
          </w:p>
        </w:tc>
        <w:tc>
          <w:tcPr>
            <w:tcW w:type="dxa" w:w="5760"/>
            <w:vAlign w:val="center"/>
          </w:tcPr>
          <w:p>
            <w:r/>
            <w:r>
              <w:rPr>
                <w:rFonts w:ascii="Arial" w:hAnsi="Arial"/>
                <w:b w:val="0"/>
                <w:sz w:val="16"/>
              </w:rPr>
              <w:t>Một chặng có thể do nhiều chuyến thực hiện; một chuyến có thể phục vụ nhiều chặng.</w:t>
            </w:r>
          </w:p>
        </w:tc>
      </w:tr>
      <w:tr>
        <w:tc>
          <w:tcPr>
            <w:tcW w:type="dxa" w:w="3168"/>
            <w:vAlign w:val="center"/>
          </w:tcPr>
          <w:p>
            <w:r/>
            <w:r>
              <w:rPr>
                <w:rFonts w:ascii="Arial" w:hAnsi="Arial"/>
                <w:b w:val="0"/>
                <w:sz w:val="16"/>
              </w:rPr>
              <w:t>Bill ↔ Chuyến</w:t>
            </w:r>
          </w:p>
        </w:tc>
        <w:tc>
          <w:tcPr>
            <w:tcW w:type="dxa" w:w="1728"/>
            <w:vAlign w:val="center"/>
          </w:tcPr>
          <w:p>
            <w:r/>
            <w:r>
              <w:rPr>
                <w:rFonts w:ascii="Arial" w:hAnsi="Arial"/>
                <w:b w:val="0"/>
                <w:sz w:val="16"/>
              </w:rPr>
              <w:t>N:N</w:t>
            </w:r>
          </w:p>
        </w:tc>
        <w:tc>
          <w:tcPr>
            <w:tcW w:type="dxa" w:w="5760"/>
            <w:vAlign w:val="center"/>
          </w:tcPr>
          <w:p>
            <w:r/>
            <w:r>
              <w:rPr>
                <w:rFonts w:ascii="Arial" w:hAnsi="Arial"/>
                <w:b w:val="0"/>
                <w:sz w:val="16"/>
              </w:rPr>
              <w:t>Cho phép tham chiếu trực tiếp khi Cost/Rating/Financial drill-down cần.</w:t>
            </w:r>
          </w:p>
        </w:tc>
      </w:tr>
    </w:tbl>
    <w:p/>
    <w:p>
      <w:pPr>
        <w:pStyle w:val="Heading1"/>
      </w:pPr>
      <w:r>
        <w:t>4. Business Party, vai trò và snapshot</w:t>
      </w:r>
    </w:p>
    <w:p>
      <w:r>
        <w:t>Business Party là canonical entity cho tổ chức/cá nhân tham gia nghiệp vụ. Không tạo bảng Customer, Vendor, Payer, Payee... như các bản sao độc lập nếu cùng một pháp nhân có thể mang nhiều vai trò.</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8"/>
          </w:tcPr>
          <w:p>
            <w:r/>
            <w:r>
              <w:rPr>
                <w:rFonts w:ascii="Arial" w:hAnsi="Arial"/>
                <w:b/>
                <w:color w:val="FFFFFF"/>
                <w:sz w:val="16"/>
              </w:rPr>
              <w:t>Role</w:t>
            </w:r>
          </w:p>
        </w:tc>
        <w:tc>
          <w:tcPr>
            <w:tcW w:type="dxa" w:w="6192"/>
            <w:vAlign w:val="center"/>
            <w:shd w:fill="1F4E78"/>
          </w:tcPr>
          <w:p>
            <w:r/>
            <w:r>
              <w:rPr>
                <w:rFonts w:ascii="Arial" w:hAnsi="Arial"/>
                <w:b/>
                <w:color w:val="FFFFFF"/>
                <w:sz w:val="16"/>
              </w:rPr>
              <w:t>Ý nghĩa</w:t>
            </w:r>
          </w:p>
        </w:tc>
        <w:tc>
          <w:tcPr>
            <w:tcW w:type="dxa" w:w="2304"/>
            <w:vAlign w:val="center"/>
            <w:shd w:fill="1F4E78"/>
          </w:tcPr>
          <w:p>
            <w:r/>
            <w:r>
              <w:rPr>
                <w:rFonts w:ascii="Arial" w:hAnsi="Arial"/>
                <w:b/>
                <w:color w:val="FFFFFF"/>
                <w:sz w:val="16"/>
              </w:rPr>
              <w:t>Bắt buộc mặc định?</w:t>
            </w:r>
          </w:p>
        </w:tc>
      </w:tr>
      <w:tr>
        <w:tc>
          <w:tcPr>
            <w:tcW w:type="dxa" w:w="2448"/>
            <w:vAlign w:val="center"/>
          </w:tcPr>
          <w:p>
            <w:r/>
            <w:r>
              <w:rPr>
                <w:rFonts w:ascii="Arial" w:hAnsi="Arial"/>
                <w:b w:val="0"/>
                <w:sz w:val="16"/>
              </w:rPr>
              <w:t>CUSTOMER</w:t>
            </w:r>
          </w:p>
        </w:tc>
        <w:tc>
          <w:tcPr>
            <w:tcW w:type="dxa" w:w="6192"/>
            <w:vAlign w:val="center"/>
          </w:tcPr>
          <w:p>
            <w:r/>
            <w:r>
              <w:rPr>
                <w:rFonts w:ascii="Arial" w:hAnsi="Arial"/>
                <w:b w:val="0"/>
                <w:sz w:val="16"/>
              </w:rPr>
              <w:t>Khách hàng thương mại</w:t>
            </w:r>
          </w:p>
        </w:tc>
        <w:tc>
          <w:tcPr>
            <w:tcW w:type="dxa" w:w="2304"/>
            <w:vAlign w:val="center"/>
          </w:tcPr>
          <w:p>
            <w:r/>
            <w:r>
              <w:rPr>
                <w:rFonts w:ascii="Arial" w:hAnsi="Arial"/>
                <w:b w:val="0"/>
                <w:sz w:val="16"/>
              </w:rPr>
              <w:t>Theo nghiệp vụ; thường cần cho selling rate</w:t>
            </w:r>
          </w:p>
        </w:tc>
      </w:tr>
      <w:tr>
        <w:tc>
          <w:tcPr>
            <w:tcW w:type="dxa" w:w="2448"/>
            <w:vAlign w:val="center"/>
          </w:tcPr>
          <w:p>
            <w:r/>
            <w:r>
              <w:rPr>
                <w:rFonts w:ascii="Arial" w:hAnsi="Arial"/>
                <w:b w:val="0"/>
                <w:sz w:val="16"/>
              </w:rPr>
              <w:t>VENDOR / PARTNER</w:t>
            </w:r>
          </w:p>
        </w:tc>
        <w:tc>
          <w:tcPr>
            <w:tcW w:type="dxa" w:w="6192"/>
            <w:vAlign w:val="center"/>
          </w:tcPr>
          <w:p>
            <w:r/>
            <w:r>
              <w:rPr>
                <w:rFonts w:ascii="Arial" w:hAnsi="Arial"/>
                <w:b w:val="0"/>
                <w:sz w:val="16"/>
              </w:rPr>
              <w:t>Nhà cung cấp/đối tác</w:t>
            </w:r>
          </w:p>
        </w:tc>
        <w:tc>
          <w:tcPr>
            <w:tcW w:type="dxa" w:w="2304"/>
            <w:vAlign w:val="center"/>
          </w:tcPr>
          <w:p>
            <w:r/>
            <w:r>
              <w:rPr>
                <w:rFonts w:ascii="Arial" w:hAnsi="Arial"/>
                <w:b w:val="0"/>
                <w:sz w:val="16"/>
              </w:rPr>
              <w:t>Khi xác định buying rate/cost source</w:t>
            </w:r>
          </w:p>
        </w:tc>
      </w:tr>
      <w:tr>
        <w:tc>
          <w:tcPr>
            <w:tcW w:type="dxa" w:w="2448"/>
            <w:vAlign w:val="center"/>
          </w:tcPr>
          <w:p>
            <w:r/>
            <w:r>
              <w:rPr>
                <w:rFonts w:ascii="Arial" w:hAnsi="Arial"/>
                <w:b w:val="0"/>
                <w:sz w:val="16"/>
              </w:rPr>
              <w:t>PAYER</w:t>
            </w:r>
          </w:p>
        </w:tc>
        <w:tc>
          <w:tcPr>
            <w:tcW w:type="dxa" w:w="6192"/>
            <w:vAlign w:val="center"/>
          </w:tcPr>
          <w:p>
            <w:r/>
            <w:r>
              <w:rPr>
                <w:rFonts w:ascii="Arial" w:hAnsi="Arial"/>
                <w:b w:val="0"/>
                <w:sz w:val="16"/>
              </w:rPr>
              <w:t>Bên trả cước</w:t>
            </w:r>
          </w:p>
        </w:tc>
        <w:tc>
          <w:tcPr>
            <w:tcW w:type="dxa" w:w="2304"/>
            <w:vAlign w:val="center"/>
          </w:tcPr>
          <w:p>
            <w:r/>
            <w:r>
              <w:rPr>
                <w:rFonts w:ascii="Arial" w:hAnsi="Arial"/>
                <w:b w:val="0"/>
                <w:sz w:val="16"/>
              </w:rPr>
              <w:t>Theo commercial policy</w:t>
            </w:r>
          </w:p>
        </w:tc>
      </w:tr>
      <w:tr>
        <w:tc>
          <w:tcPr>
            <w:tcW w:type="dxa" w:w="2448"/>
            <w:vAlign w:val="center"/>
          </w:tcPr>
          <w:p>
            <w:r/>
            <w:r>
              <w:rPr>
                <w:rFonts w:ascii="Arial" w:hAnsi="Arial"/>
                <w:b w:val="0"/>
                <w:sz w:val="16"/>
              </w:rPr>
              <w:t>PAYEE</w:t>
            </w:r>
          </w:p>
        </w:tc>
        <w:tc>
          <w:tcPr>
            <w:tcW w:type="dxa" w:w="6192"/>
            <w:vAlign w:val="center"/>
          </w:tcPr>
          <w:p>
            <w:r/>
            <w:r>
              <w:rPr>
                <w:rFonts w:ascii="Arial" w:hAnsi="Arial"/>
                <w:b w:val="0"/>
                <w:sz w:val="16"/>
              </w:rPr>
              <w:t>Bên nhận thanh toán</w:t>
            </w:r>
          </w:p>
        </w:tc>
        <w:tc>
          <w:tcPr>
            <w:tcW w:type="dxa" w:w="2304"/>
            <w:vAlign w:val="center"/>
          </w:tcPr>
          <w:p>
            <w:r/>
            <w:r>
              <w:rPr>
                <w:rFonts w:ascii="Arial" w:hAnsi="Arial"/>
                <w:b w:val="0"/>
                <w:sz w:val="16"/>
              </w:rPr>
              <w:t>Theo financial document/payment context</w:t>
            </w:r>
          </w:p>
        </w:tc>
      </w:tr>
      <w:tr>
        <w:tc>
          <w:tcPr>
            <w:tcW w:type="dxa" w:w="2448"/>
            <w:vAlign w:val="center"/>
          </w:tcPr>
          <w:p>
            <w:r/>
            <w:r>
              <w:rPr>
                <w:rFonts w:ascii="Arial" w:hAnsi="Arial"/>
                <w:b w:val="0"/>
                <w:sz w:val="16"/>
              </w:rPr>
              <w:t>BILL_TO</w:t>
            </w:r>
          </w:p>
        </w:tc>
        <w:tc>
          <w:tcPr>
            <w:tcW w:type="dxa" w:w="6192"/>
            <w:vAlign w:val="center"/>
          </w:tcPr>
          <w:p>
            <w:r/>
            <w:r>
              <w:rPr>
                <w:rFonts w:ascii="Arial" w:hAnsi="Arial"/>
                <w:b w:val="0"/>
                <w:sz w:val="16"/>
              </w:rPr>
              <w:t>Bên nhận hóa đơn</w:t>
            </w:r>
          </w:p>
        </w:tc>
        <w:tc>
          <w:tcPr>
            <w:tcW w:type="dxa" w:w="2304"/>
            <w:vAlign w:val="center"/>
          </w:tcPr>
          <w:p>
            <w:r/>
            <w:r>
              <w:rPr>
                <w:rFonts w:ascii="Arial" w:hAnsi="Arial"/>
                <w:b w:val="0"/>
                <w:sz w:val="16"/>
              </w:rPr>
              <w:t>Theo invoicing policy</w:t>
            </w:r>
          </w:p>
        </w:tc>
      </w:tr>
      <w:tr>
        <w:tc>
          <w:tcPr>
            <w:tcW w:type="dxa" w:w="2448"/>
            <w:vAlign w:val="center"/>
          </w:tcPr>
          <w:p>
            <w:r/>
            <w:r>
              <w:rPr>
                <w:rFonts w:ascii="Arial" w:hAnsi="Arial"/>
                <w:b w:val="0"/>
                <w:sz w:val="16"/>
              </w:rPr>
              <w:t>SHIPPER</w:t>
            </w:r>
          </w:p>
        </w:tc>
        <w:tc>
          <w:tcPr>
            <w:tcW w:type="dxa" w:w="6192"/>
            <w:vAlign w:val="center"/>
          </w:tcPr>
          <w:p>
            <w:r/>
            <w:r>
              <w:rPr>
                <w:rFonts w:ascii="Arial" w:hAnsi="Arial"/>
                <w:b w:val="0"/>
                <w:sz w:val="16"/>
              </w:rPr>
              <w:t>Người gửi hàng</w:t>
            </w:r>
          </w:p>
        </w:tc>
        <w:tc>
          <w:tcPr>
            <w:tcW w:type="dxa" w:w="2304"/>
            <w:vAlign w:val="center"/>
          </w:tcPr>
          <w:p>
            <w:r/>
            <w:r>
              <w:rPr>
                <w:rFonts w:ascii="Arial" w:hAnsi="Arial"/>
                <w:b w:val="0"/>
                <w:sz w:val="16"/>
              </w:rPr>
              <w:t>Theo service/policy</w:t>
            </w:r>
          </w:p>
        </w:tc>
      </w:tr>
      <w:tr>
        <w:tc>
          <w:tcPr>
            <w:tcW w:type="dxa" w:w="2448"/>
            <w:vAlign w:val="center"/>
          </w:tcPr>
          <w:p>
            <w:r/>
            <w:r>
              <w:rPr>
                <w:rFonts w:ascii="Arial" w:hAnsi="Arial"/>
                <w:b w:val="0"/>
                <w:sz w:val="16"/>
              </w:rPr>
              <w:t>CONSIGNEE</w:t>
            </w:r>
          </w:p>
        </w:tc>
        <w:tc>
          <w:tcPr>
            <w:tcW w:type="dxa" w:w="6192"/>
            <w:vAlign w:val="center"/>
          </w:tcPr>
          <w:p>
            <w:r/>
            <w:r>
              <w:rPr>
                <w:rFonts w:ascii="Arial" w:hAnsi="Arial"/>
                <w:b w:val="0"/>
                <w:sz w:val="16"/>
              </w:rPr>
              <w:t>Người nhận hàng</w:t>
            </w:r>
          </w:p>
        </w:tc>
        <w:tc>
          <w:tcPr>
            <w:tcW w:type="dxa" w:w="2304"/>
            <w:vAlign w:val="center"/>
          </w:tcPr>
          <w:p>
            <w:r/>
            <w:r>
              <w:rPr>
                <w:rFonts w:ascii="Arial" w:hAnsi="Arial"/>
                <w:b w:val="0"/>
                <w:sz w:val="16"/>
              </w:rPr>
              <w:t>Theo service/policy</w:t>
            </w:r>
          </w:p>
        </w:tc>
      </w:tr>
      <w:tr>
        <w:tc>
          <w:tcPr>
            <w:tcW w:type="dxa" w:w="2448"/>
            <w:vAlign w:val="center"/>
          </w:tcPr>
          <w:p>
            <w:r/>
            <w:r>
              <w:rPr>
                <w:rFonts w:ascii="Arial" w:hAnsi="Arial"/>
                <w:b w:val="0"/>
                <w:sz w:val="16"/>
              </w:rPr>
              <w:t>CARRIER / AGENT</w:t>
            </w:r>
          </w:p>
        </w:tc>
        <w:tc>
          <w:tcPr>
            <w:tcW w:type="dxa" w:w="6192"/>
            <w:vAlign w:val="center"/>
          </w:tcPr>
          <w:p>
            <w:r/>
            <w:r>
              <w:rPr>
                <w:rFonts w:ascii="Arial" w:hAnsi="Arial"/>
                <w:b w:val="0"/>
                <w:sz w:val="16"/>
              </w:rPr>
              <w:t>Hãng vận chuyển/đại lý</w:t>
            </w:r>
          </w:p>
        </w:tc>
        <w:tc>
          <w:tcPr>
            <w:tcW w:type="dxa" w:w="2304"/>
            <w:vAlign w:val="center"/>
          </w:tcPr>
          <w:p>
            <w:r/>
            <w:r>
              <w:rPr>
                <w:rFonts w:ascii="Arial" w:hAnsi="Arial"/>
                <w:b w:val="0"/>
                <w:sz w:val="16"/>
              </w:rPr>
              <w:t>Theo movement/rating context</w:t>
            </w:r>
          </w:p>
        </w:tc>
      </w:tr>
    </w:tbl>
    <w:p/>
    <w:p>
      <w:r>
        <w:rPr>
          <w:b/>
          <w:color w:val="1F4E79"/>
        </w:rPr>
        <w:t xml:space="preserve">Không hard-code 3 bên bắt buộc: </w:t>
      </w:r>
      <w:r>
        <w:t>Bill không mặc định bắt buộc đồng thời Shipper + Consignee + Payer cho mọi service. Required role phải cấu hình theo service/policy.</w:t>
      </w:r>
    </w:p>
    <w:p>
      <w:r>
        <w:rPr>
          <w:b/>
          <w:color w:val="1F4E79"/>
        </w:rPr>
        <w:t xml:space="preserve">Autocomplete: </w:t>
      </w:r>
      <w:r>
        <w:t>UI phải tìm Party tối thiểu theo mã, tên, số điện thoại và MST; chọn Party có thể auto-fill contact/billing defaults.</w:t>
      </w:r>
    </w:p>
    <w:p>
      <w:r>
        <w:rPr>
          <w:b/>
          <w:color w:val="1F4E79"/>
        </w:rPr>
        <w:t xml:space="preserve">Walk-in: </w:t>
      </w:r>
      <w:r>
        <w:t>Khi policy cho phép, người dùng có thể nhập party không cần tạo master trước; hệ thống vẫn phải lưu snapshot và provenance.</w:t>
      </w:r>
    </w:p>
    <w:p>
      <w:r>
        <w:rPr>
          <w:b/>
          <w:color w:val="1F4E79"/>
        </w:rPr>
        <w:t xml:space="preserve">Snapshot: </w:t>
      </w:r>
      <w:r>
        <w:t>Khi transaction/rating đã sử dụng thông tin Party, thay đổi tên/địa chỉ/contact trên master không được sửa ngầm snapshot lịch sử.</w:t>
      </w:r>
    </w:p>
    <w:p>
      <w:pPr>
        <w:pStyle w:val="Heading1"/>
      </w:pPr>
      <w:r>
        <w:t>5. Location, Route, Mode, Service và Commodity</w:t>
      </w:r>
    </w:p>
    <w:p>
      <w:pPr>
        <w:pStyle w:val="Heading2"/>
      </w:pPr>
      <w:r>
        <w:t>5.1 Location</w:t>
      </w:r>
    </w:p>
    <w:p>
      <w:r>
        <w:t>Origin/Destination dùng Location canonical, không dùng free-text làm khóa nghiệp vụ. Location có thể là Airport, Port, City, Depot hoặc Other và có thể mang IATA/UNLOCODE/tenant code.</w:t>
      </w:r>
    </w:p>
    <w:p>
      <w:pPr>
        <w:pStyle w:val="Heading2"/>
      </w:pPr>
      <w:r>
        <w:t>5.2 Route</w:t>
      </w:r>
    </w:p>
    <w:p>
      <w:r>
        <w:t>Route là cấu hình reusable Origin–Destination phục vụ rate applicability. Transaction vẫn có thể lưu trực tiếp Origin/Destination mà không bắt buộc phải chọn một Route master nếu tenant không cần.</w:t>
      </w:r>
    </w:p>
    <w:p>
      <w:pPr>
        <w:pStyle w:val="Heading2"/>
      </w:pPr>
      <w:r>
        <w:t>5.3 Transport Mode và Service Type</w:t>
      </w:r>
    </w:p>
    <w:p>
      <w:r>
        <w:t>Transport Mode tối thiểu hỗ trợ AIR, SEA, ROAD, RAIL, EXPRESS, OTHER. Service Type là cấu hình tenant như FCL, LCL, Air Freight, Express, FTL, LTL... D04 không được suy luận calculation mode chỉ từ tên service; Pricing Rule mới quyết định chiến lược tính.</w:t>
      </w:r>
    </w:p>
    <w:p>
      <w:pPr>
        <w:pStyle w:val="Heading2"/>
      </w:pPr>
      <w:r>
        <w:t>5.4 Commodity/Cargo</w:t>
      </w:r>
    </w:p>
    <w:p>
      <w:r>
        <w:t>Commodity/Cargo Type phải đủ để làm rating context và surcharge applicability. Các flag như DG, Reefer, High Value là thuộc tính nghiệp vụ phục vụ tính giá/chi phí/kiểm soát, không mở rộng sang warehouse execution.</w:t>
      </w:r>
    </w:p>
    <w:p>
      <w:pPr>
        <w:pStyle w:val="Heading1"/>
      </w:pPr>
      <w:r>
        <w:t>6. Đặc tả Order</w:t>
      </w:r>
    </w:p>
    <w:p>
      <w:r>
        <w:t>Order là yêu cầu vận chuyển/đầu vào thương mại. Order không phải Financial Anchor nhưng là nguồn context quan trọng cho Bill và Rating.</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rFonts w:ascii="Arial" w:hAnsi="Arial"/>
                <w:b/>
                <w:color w:val="FFFFFF"/>
                <w:sz w:val="16"/>
              </w:rPr>
              <w:t>Nhóm</w:t>
            </w:r>
          </w:p>
        </w:tc>
        <w:tc>
          <w:tcPr>
            <w:tcW w:type="dxa" w:w="4320"/>
            <w:vAlign w:val="center"/>
            <w:shd w:fill="1F4E78"/>
          </w:tcPr>
          <w:p>
            <w:r/>
            <w:r>
              <w:rPr>
                <w:rFonts w:ascii="Arial" w:hAnsi="Arial"/>
                <w:b/>
                <w:color w:val="FFFFFF"/>
                <w:sz w:val="16"/>
              </w:rPr>
              <w:t>Field tối thiểu</w:t>
            </w:r>
          </w:p>
        </w:tc>
        <w:tc>
          <w:tcPr>
            <w:tcW w:type="dxa" w:w="5760"/>
            <w:vAlign w:val="center"/>
            <w:shd w:fill="1F4E78"/>
          </w:tcPr>
          <w:p>
            <w:r/>
            <w:r>
              <w:rPr>
                <w:rFonts w:ascii="Arial" w:hAnsi="Arial"/>
                <w:b/>
                <w:color w:val="FFFFFF"/>
                <w:sz w:val="16"/>
              </w:rPr>
              <w:t>Quy tắc</w:t>
            </w:r>
          </w:p>
        </w:tc>
      </w:tr>
      <w:tr>
        <w:tc>
          <w:tcPr>
            <w:tcW w:type="dxa" w:w="2160"/>
            <w:vAlign w:val="center"/>
          </w:tcPr>
          <w:p>
            <w:r/>
            <w:r>
              <w:rPr>
                <w:rFonts w:ascii="Arial" w:hAnsi="Arial"/>
                <w:b w:val="0"/>
                <w:sz w:val="16"/>
              </w:rPr>
              <w:t>Identity</w:t>
            </w:r>
          </w:p>
        </w:tc>
        <w:tc>
          <w:tcPr>
            <w:tcW w:type="dxa" w:w="4320"/>
            <w:vAlign w:val="center"/>
          </w:tcPr>
          <w:p>
            <w:r/>
            <w:r>
              <w:rPr>
                <w:rFonts w:ascii="Arial" w:hAnsi="Arial"/>
                <w:b w:val="0"/>
                <w:sz w:val="16"/>
              </w:rPr>
              <w:t>order_no, order_date, status</w:t>
            </w:r>
          </w:p>
        </w:tc>
        <w:tc>
          <w:tcPr>
            <w:tcW w:type="dxa" w:w="5760"/>
            <w:vAlign w:val="center"/>
          </w:tcPr>
          <w:p>
            <w:r/>
            <w:r>
              <w:rPr>
                <w:rFonts w:ascii="Arial" w:hAnsi="Arial"/>
                <w:b w:val="0"/>
                <w:sz w:val="16"/>
              </w:rPr>
              <w:t>Mã unique theo tenant/source policy; status là Operational Status, không phải Financial Status.</w:t>
            </w:r>
          </w:p>
        </w:tc>
      </w:tr>
      <w:tr>
        <w:tc>
          <w:tcPr>
            <w:tcW w:type="dxa" w:w="2160"/>
            <w:vAlign w:val="center"/>
          </w:tcPr>
          <w:p>
            <w:r/>
            <w:r>
              <w:rPr>
                <w:rFonts w:ascii="Arial" w:hAnsi="Arial"/>
                <w:b w:val="0"/>
                <w:sz w:val="16"/>
              </w:rPr>
              <w:t>Customer</w:t>
            </w:r>
          </w:p>
        </w:tc>
        <w:tc>
          <w:tcPr>
            <w:tcW w:type="dxa" w:w="4320"/>
            <w:vAlign w:val="center"/>
          </w:tcPr>
          <w:p>
            <w:r/>
            <w:r>
              <w:rPr>
                <w:rFonts w:ascii="Arial" w:hAnsi="Arial"/>
                <w:b w:val="0"/>
                <w:sz w:val="16"/>
              </w:rPr>
              <w:t>customer_party_id + snapshot khi cần</w:t>
            </w:r>
          </w:p>
        </w:tc>
        <w:tc>
          <w:tcPr>
            <w:tcW w:type="dxa" w:w="5760"/>
            <w:vAlign w:val="center"/>
          </w:tcPr>
          <w:p>
            <w:r/>
            <w:r>
              <w:rPr>
                <w:rFonts w:ascii="Arial" w:hAnsi="Arial"/>
                <w:b w:val="0"/>
                <w:sz w:val="16"/>
              </w:rPr>
              <w:t>Party active; hỗ trợ autocomplete/walk-in theo policy.</w:t>
            </w:r>
          </w:p>
        </w:tc>
      </w:tr>
      <w:tr>
        <w:tc>
          <w:tcPr>
            <w:tcW w:type="dxa" w:w="2160"/>
            <w:vAlign w:val="center"/>
          </w:tcPr>
          <w:p>
            <w:r/>
            <w:r>
              <w:rPr>
                <w:rFonts w:ascii="Arial" w:hAnsi="Arial"/>
                <w:b w:val="0"/>
                <w:sz w:val="16"/>
              </w:rPr>
              <w:t>Service/Route</w:t>
            </w:r>
          </w:p>
        </w:tc>
        <w:tc>
          <w:tcPr>
            <w:tcW w:type="dxa" w:w="4320"/>
            <w:vAlign w:val="center"/>
          </w:tcPr>
          <w:p>
            <w:r/>
            <w:r>
              <w:rPr>
                <w:rFonts w:ascii="Arial" w:hAnsi="Arial"/>
                <w:b w:val="0"/>
                <w:sz w:val="16"/>
              </w:rPr>
              <w:t>transport_mode, service_type, origin, destination, incoterm</w:t>
            </w:r>
          </w:p>
        </w:tc>
        <w:tc>
          <w:tcPr>
            <w:tcW w:type="dxa" w:w="5760"/>
            <w:vAlign w:val="center"/>
          </w:tcPr>
          <w:p>
            <w:r/>
            <w:r>
              <w:rPr>
                <w:rFonts w:ascii="Arial" w:hAnsi="Arial"/>
                <w:b w:val="0"/>
                <w:sz w:val="16"/>
              </w:rPr>
              <w:t>Các field cần cho rating phải có trước khi gọi Rating Engine.</w:t>
            </w:r>
          </w:p>
        </w:tc>
      </w:tr>
      <w:tr>
        <w:tc>
          <w:tcPr>
            <w:tcW w:type="dxa" w:w="2160"/>
            <w:vAlign w:val="center"/>
          </w:tcPr>
          <w:p>
            <w:r/>
            <w:r>
              <w:rPr>
                <w:rFonts w:ascii="Arial" w:hAnsi="Arial"/>
                <w:b w:val="0"/>
                <w:sz w:val="16"/>
              </w:rPr>
              <w:t>Cargo</w:t>
            </w:r>
          </w:p>
        </w:tc>
        <w:tc>
          <w:tcPr>
            <w:tcW w:type="dxa" w:w="4320"/>
            <w:vAlign w:val="center"/>
          </w:tcPr>
          <w:p>
            <w:r/>
            <w:r>
              <w:rPr>
                <w:rFonts w:ascii="Arial" w:hAnsi="Arial"/>
                <w:b w:val="0"/>
                <w:sz w:val="16"/>
              </w:rPr>
              <w:t>commodity, description, HS code, cargo flags</w:t>
            </w:r>
          </w:p>
        </w:tc>
        <w:tc>
          <w:tcPr>
            <w:tcW w:type="dxa" w:w="5760"/>
            <w:vAlign w:val="center"/>
          </w:tcPr>
          <w:p>
            <w:r/>
            <w:r>
              <w:rPr>
                <w:rFonts w:ascii="Arial" w:hAnsi="Arial"/>
                <w:b w:val="0"/>
                <w:sz w:val="16"/>
              </w:rPr>
              <w:t>HS code tùy chọn; DG/Reefer/High Value theo cấu hình.</w:t>
            </w:r>
          </w:p>
        </w:tc>
      </w:tr>
      <w:tr>
        <w:tc>
          <w:tcPr>
            <w:tcW w:type="dxa" w:w="2160"/>
            <w:vAlign w:val="center"/>
          </w:tcPr>
          <w:p>
            <w:r/>
            <w:r>
              <w:rPr>
                <w:rFonts w:ascii="Arial" w:hAnsi="Arial"/>
                <w:b w:val="0"/>
                <w:sz w:val="16"/>
              </w:rPr>
              <w:t>Measurement</w:t>
            </w:r>
          </w:p>
        </w:tc>
        <w:tc>
          <w:tcPr>
            <w:tcW w:type="dxa" w:w="4320"/>
            <w:vAlign w:val="center"/>
          </w:tcPr>
          <w:p>
            <w:r/>
            <w:r>
              <w:rPr>
                <w:rFonts w:ascii="Arial" w:hAnsi="Arial"/>
                <w:b w:val="0"/>
                <w:sz w:val="16"/>
              </w:rPr>
              <w:t>package_count, gross_weight, volume_cbm</w:t>
            </w:r>
          </w:p>
        </w:tc>
        <w:tc>
          <w:tcPr>
            <w:tcW w:type="dxa" w:w="5760"/>
            <w:vAlign w:val="center"/>
          </w:tcPr>
          <w:p>
            <w:r/>
            <w:r>
              <w:rPr>
                <w:rFonts w:ascii="Arial" w:hAnsi="Arial"/>
                <w:b w:val="0"/>
                <w:sz w:val="16"/>
              </w:rPr>
              <w:t>Canonical UOM; dùng Rating/Allocation.</w:t>
            </w:r>
          </w:p>
        </w:tc>
      </w:tr>
      <w:tr>
        <w:tc>
          <w:tcPr>
            <w:tcW w:type="dxa" w:w="2160"/>
            <w:vAlign w:val="center"/>
          </w:tcPr>
          <w:p>
            <w:r/>
            <w:r>
              <w:rPr>
                <w:rFonts w:ascii="Arial" w:hAnsi="Arial"/>
                <w:b w:val="0"/>
                <w:sz w:val="16"/>
              </w:rPr>
              <w:t>Container</w:t>
            </w:r>
          </w:p>
        </w:tc>
        <w:tc>
          <w:tcPr>
            <w:tcW w:type="dxa" w:w="4320"/>
            <w:vAlign w:val="center"/>
          </w:tcPr>
          <w:p>
            <w:r/>
            <w:r>
              <w:rPr>
                <w:rFonts w:ascii="Arial" w:hAnsi="Arial"/>
                <w:b w:val="0"/>
                <w:sz w:val="16"/>
              </w:rPr>
              <w:t>container_type, quantity</w:t>
            </w:r>
          </w:p>
        </w:tc>
        <w:tc>
          <w:tcPr>
            <w:tcW w:type="dxa" w:w="5760"/>
            <w:vAlign w:val="center"/>
          </w:tcPr>
          <w:p>
            <w:r/>
            <w:r>
              <w:rPr>
                <w:rFonts w:ascii="Arial" w:hAnsi="Arial"/>
                <w:b w:val="0"/>
                <w:sz w:val="16"/>
              </w:rPr>
              <w:t>Chỉ cần khi FCL/container-based pricing.</w:t>
            </w:r>
          </w:p>
        </w:tc>
      </w:tr>
      <w:tr>
        <w:tc>
          <w:tcPr>
            <w:tcW w:type="dxa" w:w="2160"/>
            <w:vAlign w:val="center"/>
          </w:tcPr>
          <w:p>
            <w:r/>
            <w:r>
              <w:rPr>
                <w:rFonts w:ascii="Arial" w:hAnsi="Arial"/>
                <w:b w:val="0"/>
                <w:sz w:val="16"/>
              </w:rPr>
              <w:t>Dates</w:t>
            </w:r>
          </w:p>
        </w:tc>
        <w:tc>
          <w:tcPr>
            <w:tcW w:type="dxa" w:w="4320"/>
            <w:vAlign w:val="center"/>
          </w:tcPr>
          <w:p>
            <w:r/>
            <w:r>
              <w:rPr>
                <w:rFonts w:ascii="Arial" w:hAnsi="Arial"/>
                <w:b w:val="0"/>
                <w:sz w:val="16"/>
              </w:rPr>
              <w:t>ready_date, requested_delivery_date</w:t>
            </w:r>
          </w:p>
        </w:tc>
        <w:tc>
          <w:tcPr>
            <w:tcW w:type="dxa" w:w="5760"/>
            <w:vAlign w:val="center"/>
          </w:tcPr>
          <w:p>
            <w:r/>
            <w:r>
              <w:rPr>
                <w:rFonts w:ascii="Arial" w:hAnsi="Arial"/>
                <w:b w:val="0"/>
                <w:sz w:val="16"/>
              </w:rPr>
              <w:t>requested_delivery_date &gt;= ready_date khi cả hai có.</w:t>
            </w:r>
          </w:p>
        </w:tc>
      </w:tr>
      <w:tr>
        <w:tc>
          <w:tcPr>
            <w:tcW w:type="dxa" w:w="2160"/>
            <w:vAlign w:val="center"/>
          </w:tcPr>
          <w:p>
            <w:r/>
            <w:r>
              <w:rPr>
                <w:rFonts w:ascii="Arial" w:hAnsi="Arial"/>
                <w:b w:val="0"/>
                <w:sz w:val="16"/>
              </w:rPr>
              <w:t>Source</w:t>
            </w:r>
          </w:p>
        </w:tc>
        <w:tc>
          <w:tcPr>
            <w:tcW w:type="dxa" w:w="4320"/>
            <w:vAlign w:val="center"/>
          </w:tcPr>
          <w:p>
            <w:r/>
            <w:r>
              <w:rPr>
                <w:rFonts w:ascii="Arial" w:hAnsi="Arial"/>
                <w:b w:val="0"/>
                <w:sz w:val="16"/>
              </w:rPr>
              <w:t>source_type, source_system, external_id</w:t>
            </w:r>
          </w:p>
        </w:tc>
        <w:tc>
          <w:tcPr>
            <w:tcW w:type="dxa" w:w="5760"/>
            <w:vAlign w:val="center"/>
          </w:tcPr>
          <w:p>
            <w:r/>
            <w:r>
              <w:rPr>
                <w:rFonts w:ascii="Arial" w:hAnsi="Arial"/>
                <w:b w:val="0"/>
                <w:sz w:val="16"/>
              </w:rPr>
              <w:t>Bắt buộc provenance; API identity idempotent.</w:t>
            </w:r>
          </w:p>
        </w:tc>
      </w:tr>
    </w:tbl>
    <w:p/>
    <w:p>
      <w:pPr>
        <w:pStyle w:val="Heading1"/>
      </w:pPr>
      <w:r>
        <w:t>7. Đặc tả Bill</w:t>
      </w:r>
    </w:p>
    <w:p>
      <w:r>
        <w:t>Bill là Financial Anchor của LCMS. Từ Bill, người dùng phải xem được Operational Context, Expected/Confirmed/Actual Cost &amp; Revenue, allocation, chứng từ, AP/AR, payment/collection, profitability và drill-down sang các reference liên quan.</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rFonts w:ascii="Arial" w:hAnsi="Arial"/>
                <w:b/>
                <w:color w:val="FFFFFF"/>
                <w:sz w:val="16"/>
              </w:rPr>
              <w:t>Nhóm</w:t>
            </w:r>
          </w:p>
        </w:tc>
        <w:tc>
          <w:tcPr>
            <w:tcW w:type="dxa" w:w="4464"/>
            <w:vAlign w:val="center"/>
            <w:shd w:fill="1F4E78"/>
          </w:tcPr>
          <w:p>
            <w:r/>
            <w:r>
              <w:rPr>
                <w:rFonts w:ascii="Arial" w:hAnsi="Arial"/>
                <w:b/>
                <w:color w:val="FFFFFF"/>
                <w:sz w:val="16"/>
              </w:rPr>
              <w:t>Field/Context</w:t>
            </w:r>
          </w:p>
        </w:tc>
        <w:tc>
          <w:tcPr>
            <w:tcW w:type="dxa" w:w="5616"/>
            <w:vAlign w:val="center"/>
            <w:shd w:fill="1F4E78"/>
          </w:tcPr>
          <w:p>
            <w:r/>
            <w:r>
              <w:rPr>
                <w:rFonts w:ascii="Arial" w:hAnsi="Arial"/>
                <w:b/>
                <w:color w:val="FFFFFF"/>
                <w:sz w:val="16"/>
              </w:rPr>
              <w:t>Yêu cầu</w:t>
            </w:r>
          </w:p>
        </w:tc>
      </w:tr>
      <w:tr>
        <w:tc>
          <w:tcPr>
            <w:tcW w:type="dxa" w:w="2160"/>
            <w:vAlign w:val="center"/>
          </w:tcPr>
          <w:p>
            <w:r/>
            <w:r>
              <w:rPr>
                <w:rFonts w:ascii="Arial" w:hAnsi="Arial"/>
                <w:b w:val="0"/>
                <w:sz w:val="16"/>
              </w:rPr>
              <w:t>Identity</w:t>
            </w:r>
          </w:p>
        </w:tc>
        <w:tc>
          <w:tcPr>
            <w:tcW w:type="dxa" w:w="4464"/>
            <w:vAlign w:val="center"/>
          </w:tcPr>
          <w:p>
            <w:r/>
            <w:r>
              <w:rPr>
                <w:rFonts w:ascii="Arial" w:hAnsi="Arial"/>
                <w:b w:val="0"/>
                <w:sz w:val="16"/>
              </w:rPr>
              <w:t>bill_no, bill_date, status</w:t>
            </w:r>
          </w:p>
        </w:tc>
        <w:tc>
          <w:tcPr>
            <w:tcW w:type="dxa" w:w="5616"/>
            <w:vAlign w:val="center"/>
          </w:tcPr>
          <w:p>
            <w:r/>
            <w:r>
              <w:rPr>
                <w:rFonts w:ascii="Arial" w:hAnsi="Arial"/>
                <w:b w:val="0"/>
                <w:sz w:val="16"/>
              </w:rPr>
              <w:t>Status vận hành độc lập trạng thái tài chính.</w:t>
            </w:r>
          </w:p>
        </w:tc>
      </w:tr>
      <w:tr>
        <w:tc>
          <w:tcPr>
            <w:tcW w:type="dxa" w:w="2160"/>
            <w:vAlign w:val="center"/>
          </w:tcPr>
          <w:p>
            <w:r/>
            <w:r>
              <w:rPr>
                <w:rFonts w:ascii="Arial" w:hAnsi="Arial"/>
                <w:b w:val="0"/>
                <w:sz w:val="16"/>
              </w:rPr>
              <w:t>Party</w:t>
            </w:r>
          </w:p>
        </w:tc>
        <w:tc>
          <w:tcPr>
            <w:tcW w:type="dxa" w:w="4464"/>
            <w:vAlign w:val="center"/>
          </w:tcPr>
          <w:p>
            <w:r/>
            <w:r>
              <w:rPr>
                <w:rFonts w:ascii="Arial" w:hAnsi="Arial"/>
                <w:b w:val="0"/>
                <w:sz w:val="16"/>
              </w:rPr>
              <w:t>Customer/Payer/Shipper/Consignee/Bill-to</w:t>
            </w:r>
          </w:p>
        </w:tc>
        <w:tc>
          <w:tcPr>
            <w:tcW w:type="dxa" w:w="5616"/>
            <w:vAlign w:val="center"/>
          </w:tcPr>
          <w:p>
            <w:r/>
            <w:r>
              <w:rPr>
                <w:rFonts w:ascii="Arial" w:hAnsi="Arial"/>
                <w:b w:val="0"/>
                <w:sz w:val="16"/>
              </w:rPr>
              <w:t>Role-based, configurable requiredness, snapshot.</w:t>
            </w:r>
          </w:p>
        </w:tc>
      </w:tr>
      <w:tr>
        <w:tc>
          <w:tcPr>
            <w:tcW w:type="dxa" w:w="2160"/>
            <w:vAlign w:val="center"/>
          </w:tcPr>
          <w:p>
            <w:r/>
            <w:r>
              <w:rPr>
                <w:rFonts w:ascii="Arial" w:hAnsi="Arial"/>
                <w:b w:val="0"/>
                <w:sz w:val="16"/>
              </w:rPr>
              <w:t>Service/Route</w:t>
            </w:r>
          </w:p>
        </w:tc>
        <w:tc>
          <w:tcPr>
            <w:tcW w:type="dxa" w:w="4464"/>
            <w:vAlign w:val="center"/>
          </w:tcPr>
          <w:p>
            <w:r/>
            <w:r>
              <w:rPr>
                <w:rFonts w:ascii="Arial" w:hAnsi="Arial"/>
                <w:b w:val="0"/>
                <w:sz w:val="16"/>
              </w:rPr>
              <w:t>mode/service/origin/destination/incoterm</w:t>
            </w:r>
          </w:p>
        </w:tc>
        <w:tc>
          <w:tcPr>
            <w:tcW w:type="dxa" w:w="5616"/>
            <w:vAlign w:val="center"/>
          </w:tcPr>
          <w:p>
            <w:r/>
            <w:r>
              <w:rPr>
                <w:rFonts w:ascii="Arial" w:hAnsi="Arial"/>
                <w:b w:val="0"/>
                <w:sz w:val="16"/>
              </w:rPr>
              <w:t>Rating Context chính.</w:t>
            </w:r>
          </w:p>
        </w:tc>
      </w:tr>
      <w:tr>
        <w:tc>
          <w:tcPr>
            <w:tcW w:type="dxa" w:w="2160"/>
            <w:vAlign w:val="center"/>
          </w:tcPr>
          <w:p>
            <w:r/>
            <w:r>
              <w:rPr>
                <w:rFonts w:ascii="Arial" w:hAnsi="Arial"/>
                <w:b w:val="0"/>
                <w:sz w:val="16"/>
              </w:rPr>
              <w:t>Cargo</w:t>
            </w:r>
          </w:p>
        </w:tc>
        <w:tc>
          <w:tcPr>
            <w:tcW w:type="dxa" w:w="4464"/>
            <w:vAlign w:val="center"/>
          </w:tcPr>
          <w:p>
            <w:r/>
            <w:r>
              <w:rPr>
                <w:rFonts w:ascii="Arial" w:hAnsi="Arial"/>
                <w:b w:val="0"/>
                <w:sz w:val="16"/>
              </w:rPr>
              <w:t>commodity + flags</w:t>
            </w:r>
          </w:p>
        </w:tc>
        <w:tc>
          <w:tcPr>
            <w:tcW w:type="dxa" w:w="5616"/>
            <w:vAlign w:val="center"/>
          </w:tcPr>
          <w:p>
            <w:r/>
            <w:r>
              <w:rPr>
                <w:rFonts w:ascii="Arial" w:hAnsi="Arial"/>
                <w:b w:val="0"/>
                <w:sz w:val="16"/>
              </w:rPr>
              <w:t>Dùng applicability/surcharge.</w:t>
            </w:r>
          </w:p>
        </w:tc>
      </w:tr>
      <w:tr>
        <w:tc>
          <w:tcPr>
            <w:tcW w:type="dxa" w:w="2160"/>
            <w:vAlign w:val="center"/>
          </w:tcPr>
          <w:p>
            <w:r/>
            <w:r>
              <w:rPr>
                <w:rFonts w:ascii="Arial" w:hAnsi="Arial"/>
                <w:b w:val="0"/>
                <w:sz w:val="16"/>
              </w:rPr>
              <w:t>Measurement</w:t>
            </w:r>
          </w:p>
        </w:tc>
        <w:tc>
          <w:tcPr>
            <w:tcW w:type="dxa" w:w="4464"/>
            <w:vAlign w:val="center"/>
          </w:tcPr>
          <w:p>
            <w:r/>
            <w:r>
              <w:rPr>
                <w:rFonts w:ascii="Arial" w:hAnsi="Arial"/>
                <w:b w:val="0"/>
                <w:sz w:val="16"/>
              </w:rPr>
              <w:t>package/gross/volume/volumetric/chargeable</w:t>
            </w:r>
          </w:p>
        </w:tc>
        <w:tc>
          <w:tcPr>
            <w:tcW w:type="dxa" w:w="5616"/>
            <w:vAlign w:val="center"/>
          </w:tcPr>
          <w:p>
            <w:r/>
            <w:r>
              <w:rPr>
                <w:rFonts w:ascii="Arial" w:hAnsi="Arial"/>
                <w:b w:val="0"/>
                <w:sz w:val="16"/>
              </w:rPr>
              <w:t>Có UOM/source/rule trace.</w:t>
            </w:r>
          </w:p>
        </w:tc>
      </w:tr>
      <w:tr>
        <w:tc>
          <w:tcPr>
            <w:tcW w:type="dxa" w:w="2160"/>
            <w:vAlign w:val="center"/>
          </w:tcPr>
          <w:p>
            <w:r/>
            <w:r>
              <w:rPr>
                <w:rFonts w:ascii="Arial" w:hAnsi="Arial"/>
                <w:b w:val="0"/>
                <w:sz w:val="16"/>
              </w:rPr>
              <w:t>Container</w:t>
            </w:r>
          </w:p>
        </w:tc>
        <w:tc>
          <w:tcPr>
            <w:tcW w:type="dxa" w:w="4464"/>
            <w:vAlign w:val="center"/>
          </w:tcPr>
          <w:p>
            <w:r/>
            <w:r>
              <w:rPr>
                <w:rFonts w:ascii="Arial" w:hAnsi="Arial"/>
                <w:b w:val="0"/>
                <w:sz w:val="16"/>
              </w:rPr>
              <w:t>type/qty</w:t>
            </w:r>
          </w:p>
        </w:tc>
        <w:tc>
          <w:tcPr>
            <w:tcW w:type="dxa" w:w="5616"/>
            <w:vAlign w:val="center"/>
          </w:tcPr>
          <w:p>
            <w:r/>
            <w:r>
              <w:rPr>
                <w:rFonts w:ascii="Arial" w:hAnsi="Arial"/>
                <w:b w:val="0"/>
                <w:sz w:val="16"/>
              </w:rPr>
              <w:t>Phục vụ FCL/container rate.</w:t>
            </w:r>
          </w:p>
        </w:tc>
      </w:tr>
      <w:tr>
        <w:tc>
          <w:tcPr>
            <w:tcW w:type="dxa" w:w="2160"/>
            <w:vAlign w:val="center"/>
          </w:tcPr>
          <w:p>
            <w:r/>
            <w:r>
              <w:rPr>
                <w:rFonts w:ascii="Arial" w:hAnsi="Arial"/>
                <w:b w:val="0"/>
                <w:sz w:val="16"/>
              </w:rPr>
              <w:t>Currency</w:t>
            </w:r>
          </w:p>
        </w:tc>
        <w:tc>
          <w:tcPr>
            <w:tcW w:type="dxa" w:w="4464"/>
            <w:vAlign w:val="center"/>
          </w:tcPr>
          <w:p>
            <w:r/>
            <w:r>
              <w:rPr>
                <w:rFonts w:ascii="Arial" w:hAnsi="Arial"/>
                <w:b w:val="0"/>
                <w:sz w:val="16"/>
              </w:rPr>
              <w:t>currency_code</w:t>
            </w:r>
          </w:p>
        </w:tc>
        <w:tc>
          <w:tcPr>
            <w:tcW w:type="dxa" w:w="5616"/>
            <w:vAlign w:val="center"/>
          </w:tcPr>
          <w:p>
            <w:r/>
            <w:r>
              <w:rPr>
                <w:rFonts w:ascii="Arial" w:hAnsi="Arial"/>
                <w:b w:val="0"/>
                <w:sz w:val="16"/>
              </w:rPr>
              <w:t>Context mặc định; không thay thế currency của từng financial fact.</w:t>
            </w:r>
          </w:p>
        </w:tc>
      </w:tr>
      <w:tr>
        <w:tc>
          <w:tcPr>
            <w:tcW w:type="dxa" w:w="2160"/>
            <w:vAlign w:val="center"/>
          </w:tcPr>
          <w:p>
            <w:r/>
            <w:r>
              <w:rPr>
                <w:rFonts w:ascii="Arial" w:hAnsi="Arial"/>
                <w:b w:val="0"/>
                <w:sz w:val="16"/>
              </w:rPr>
              <w:t>Source</w:t>
            </w:r>
          </w:p>
        </w:tc>
        <w:tc>
          <w:tcPr>
            <w:tcW w:type="dxa" w:w="4464"/>
            <w:vAlign w:val="center"/>
          </w:tcPr>
          <w:p>
            <w:r/>
            <w:r>
              <w:rPr>
                <w:rFonts w:ascii="Arial" w:hAnsi="Arial"/>
                <w:b w:val="0"/>
                <w:sz w:val="16"/>
              </w:rPr>
              <w:t>source_type/source_system/external_id</w:t>
            </w:r>
          </w:p>
        </w:tc>
        <w:tc>
          <w:tcPr>
            <w:tcW w:type="dxa" w:w="5616"/>
            <w:vAlign w:val="center"/>
          </w:tcPr>
          <w:p>
            <w:r/>
            <w:r>
              <w:rPr>
                <w:rFonts w:ascii="Arial" w:hAnsi="Arial"/>
                <w:b w:val="0"/>
                <w:sz w:val="16"/>
              </w:rPr>
              <w:t>SoT + idempotency + audit.</w:t>
            </w:r>
          </w:p>
        </w:tc>
      </w:tr>
    </w:tbl>
    <w:p/>
    <w:p>
      <w:r>
        <w:rPr>
          <w:b/>
          <w:color w:val="1F4E79"/>
        </w:rPr>
        <w:t xml:space="preserve">Chargeable Weight: </w:t>
      </w:r>
      <w:r>
        <w:t>Có thể do rule derive, user xác nhận/override có kiểm soát hoặc external source cung cấp. Hệ thống không được tự ghi đè một giá trị đã được xác nhận mà không tạo trace/confirmation mới.</w:t>
      </w:r>
    </w:p>
    <w:p>
      <w:r>
        <w:rPr>
          <w:b/>
          <w:color w:val="1F4E79"/>
        </w:rPr>
        <w:t xml:space="preserve">Fallback: </w:t>
      </w:r>
      <w:r>
        <w:t>Rating Context assembler có thể lấy dữ liệu từ Bill và fallback sang Order/Shipment/Leg/Movement theo policy đã cấu hình. Precedence phải deterministic và được snapshot trong Rating.</w:t>
      </w:r>
    </w:p>
    <w:p>
      <w:pPr>
        <w:pStyle w:val="Heading1"/>
      </w:pPr>
      <w:r>
        <w:t>8. Shipment, Chặng và Chuyến</w:t>
      </w:r>
    </w:p>
    <w:p>
      <w:pPr>
        <w:pStyle w:val="Heading2"/>
      </w:pPr>
      <w:r>
        <w:t>8.1 Shipment</w:t>
      </w:r>
    </w:p>
    <w:p>
      <w:r>
        <w:t>Shipment là operational aggregation và cost accumulation/allocation source. Shipment có thể chứa nhiều Bill và một Bill có thể thuộc nhiều Shipment trong hành trình.</w:t>
      </w:r>
    </w:p>
    <w:p>
      <w:pPr>
        <w:pStyle w:val="Heading2"/>
      </w:pPr>
      <w:r>
        <w:t>8.2 Chặng (Transport Leg)</w:t>
      </w:r>
    </w:p>
    <w:p>
      <w:r>
        <w:t>Chặng là đoạn tuyến logic, có Origin/Destination, Mode, Service, sequence và planned dates. Một chặng có thể do nhiều Chuyến thực hiện.</w:t>
      </w:r>
    </w:p>
    <w:p>
      <w:pPr>
        <w:pStyle w:val="Heading2"/>
      </w:pPr>
      <w:r>
        <w:t>8.3 Chuyến (Transport Movement)</w:t>
      </w:r>
    </w:p>
    <w:p>
      <w:r>
        <w:t>Flight/Voyage/Trip được gọi chung là Chuyến. Identity nghiệp vụ tối thiểu phải phân biệt số chuyến + ngày; carrier/mode/source có thể tham gia uniqueness policy. Chuyến có thể là source của Cost hoặc Rating Context nhưng không có profitability profile độc lập.</w:t>
      </w:r>
    </w:p>
    <w:p>
      <w:r>
        <w:rPr>
          <w:b/>
          <w:color w:val="1F4E79"/>
        </w:rPr>
        <w:t xml:space="preserve">Scope guardrail: </w:t>
      </w:r>
      <w:r>
        <w:t>LCMS chỉ lưu đủ dữ liệu Chuyến để tham chiếu tài chính/rating/allocation/reconciliation. Không quản lý điều độ, tài xế, GPS, e-POD hay kế hoạch vận tải.</w:t>
      </w:r>
    </w:p>
    <w:p>
      <w:pPr>
        <w:pStyle w:val="Heading1"/>
      </w:pPr>
      <w:r>
        <w:t>9. Cargo, Package, Container và Measurement</w:t>
      </w:r>
    </w:p>
    <w:p>
      <w:pPr>
        <w:pStyle w:val="Heading2"/>
      </w:pPr>
      <w:r>
        <w:t>9.1 Measurement canonical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1F4E78"/>
          </w:tcPr>
          <w:p>
            <w:r/>
            <w:r>
              <w:rPr>
                <w:rFonts w:ascii="Arial" w:hAnsi="Arial"/>
                <w:b/>
                <w:color w:val="FFFFFF"/>
                <w:sz w:val="16"/>
              </w:rPr>
              <w:t>Measurement</w:t>
            </w:r>
          </w:p>
        </w:tc>
        <w:tc>
          <w:tcPr>
            <w:tcW w:type="dxa" w:w="2016"/>
            <w:vAlign w:val="center"/>
            <w:shd w:fill="1F4E78"/>
          </w:tcPr>
          <w:p>
            <w:r/>
            <w:r>
              <w:rPr>
                <w:rFonts w:ascii="Arial" w:hAnsi="Arial"/>
                <w:b/>
                <w:color w:val="FFFFFF"/>
                <w:sz w:val="16"/>
              </w:rPr>
              <w:t>Canonical unit</w:t>
            </w:r>
          </w:p>
        </w:tc>
        <w:tc>
          <w:tcPr>
            <w:tcW w:type="dxa" w:w="4032"/>
            <w:vAlign w:val="center"/>
            <w:shd w:fill="1F4E78"/>
          </w:tcPr>
          <w:p>
            <w:r/>
            <w:r>
              <w:rPr>
                <w:rFonts w:ascii="Arial" w:hAnsi="Arial"/>
                <w:b/>
                <w:color w:val="FFFFFF"/>
                <w:sz w:val="16"/>
              </w:rPr>
              <w:t>Nguồn</w:t>
            </w:r>
          </w:p>
        </w:tc>
        <w:tc>
          <w:tcPr>
            <w:tcW w:type="dxa" w:w="3168"/>
            <w:vAlign w:val="center"/>
            <w:shd w:fill="1F4E78"/>
          </w:tcPr>
          <w:p>
            <w:r/>
            <w:r>
              <w:rPr>
                <w:rFonts w:ascii="Arial" w:hAnsi="Arial"/>
                <w:b/>
                <w:color w:val="FFFFFF"/>
                <w:sz w:val="16"/>
              </w:rPr>
              <w:t>Dùng cho</w:t>
            </w:r>
          </w:p>
        </w:tc>
      </w:tr>
      <w:tr>
        <w:tc>
          <w:tcPr>
            <w:tcW w:type="dxa" w:w="2880"/>
            <w:vAlign w:val="center"/>
          </w:tcPr>
          <w:p>
            <w:r/>
            <w:r>
              <w:rPr>
                <w:rFonts w:ascii="Arial" w:hAnsi="Arial"/>
                <w:b w:val="0"/>
                <w:sz w:val="16"/>
              </w:rPr>
              <w:t>Gross Weight</w:t>
            </w:r>
          </w:p>
        </w:tc>
        <w:tc>
          <w:tcPr>
            <w:tcW w:type="dxa" w:w="2016"/>
            <w:vAlign w:val="center"/>
          </w:tcPr>
          <w:p>
            <w:r/>
            <w:r>
              <w:rPr>
                <w:rFonts w:ascii="Arial" w:hAnsi="Arial"/>
                <w:b w:val="0"/>
                <w:sz w:val="16"/>
              </w:rPr>
              <w:t>kg</w:t>
            </w:r>
          </w:p>
        </w:tc>
        <w:tc>
          <w:tcPr>
            <w:tcW w:type="dxa" w:w="4032"/>
            <w:vAlign w:val="center"/>
          </w:tcPr>
          <w:p>
            <w:r/>
            <w:r>
              <w:rPr>
                <w:rFonts w:ascii="Arial" w:hAnsi="Arial"/>
                <w:b w:val="0"/>
                <w:sz w:val="16"/>
              </w:rPr>
              <w:t>Manual/Import/API</w:t>
            </w:r>
          </w:p>
        </w:tc>
        <w:tc>
          <w:tcPr>
            <w:tcW w:type="dxa" w:w="3168"/>
            <w:vAlign w:val="center"/>
          </w:tcPr>
          <w:p>
            <w:r/>
            <w:r>
              <w:rPr>
                <w:rFonts w:ascii="Arial" w:hAnsi="Arial"/>
                <w:b w:val="0"/>
                <w:sz w:val="16"/>
              </w:rPr>
              <w:t>Rating + Allocation</w:t>
            </w:r>
          </w:p>
        </w:tc>
      </w:tr>
      <w:tr>
        <w:tc>
          <w:tcPr>
            <w:tcW w:type="dxa" w:w="2880"/>
            <w:vAlign w:val="center"/>
          </w:tcPr>
          <w:p>
            <w:r/>
            <w:r>
              <w:rPr>
                <w:rFonts w:ascii="Arial" w:hAnsi="Arial"/>
                <w:b w:val="0"/>
                <w:sz w:val="16"/>
              </w:rPr>
              <w:t>Volume</w:t>
            </w:r>
          </w:p>
        </w:tc>
        <w:tc>
          <w:tcPr>
            <w:tcW w:type="dxa" w:w="2016"/>
            <w:vAlign w:val="center"/>
          </w:tcPr>
          <w:p>
            <w:r/>
            <w:r>
              <w:rPr>
                <w:rFonts w:ascii="Arial" w:hAnsi="Arial"/>
                <w:b w:val="0"/>
                <w:sz w:val="16"/>
              </w:rPr>
              <w:t>CBM</w:t>
            </w:r>
          </w:p>
        </w:tc>
        <w:tc>
          <w:tcPr>
            <w:tcW w:type="dxa" w:w="4032"/>
            <w:vAlign w:val="center"/>
          </w:tcPr>
          <w:p>
            <w:r/>
            <w:r>
              <w:rPr>
                <w:rFonts w:ascii="Arial" w:hAnsi="Arial"/>
                <w:b w:val="0"/>
                <w:sz w:val="16"/>
              </w:rPr>
              <w:t>Manual/Import/API hoặc derive từ dimensions nếu capability có</w:t>
            </w:r>
          </w:p>
        </w:tc>
        <w:tc>
          <w:tcPr>
            <w:tcW w:type="dxa" w:w="3168"/>
            <w:vAlign w:val="center"/>
          </w:tcPr>
          <w:p>
            <w:r/>
            <w:r>
              <w:rPr>
                <w:rFonts w:ascii="Arial" w:hAnsi="Arial"/>
                <w:b w:val="0"/>
                <w:sz w:val="16"/>
              </w:rPr>
              <w:t>Rating + Allocation</w:t>
            </w:r>
          </w:p>
        </w:tc>
      </w:tr>
      <w:tr>
        <w:tc>
          <w:tcPr>
            <w:tcW w:type="dxa" w:w="2880"/>
            <w:vAlign w:val="center"/>
          </w:tcPr>
          <w:p>
            <w:r/>
            <w:r>
              <w:rPr>
                <w:rFonts w:ascii="Arial" w:hAnsi="Arial"/>
                <w:b w:val="0"/>
                <w:sz w:val="16"/>
              </w:rPr>
              <w:t>Volumetric Weight</w:t>
            </w:r>
          </w:p>
        </w:tc>
        <w:tc>
          <w:tcPr>
            <w:tcW w:type="dxa" w:w="2016"/>
            <w:vAlign w:val="center"/>
          </w:tcPr>
          <w:p>
            <w:r/>
            <w:r>
              <w:rPr>
                <w:rFonts w:ascii="Arial" w:hAnsi="Arial"/>
                <w:b w:val="0"/>
                <w:sz w:val="16"/>
              </w:rPr>
              <w:t>kg</w:t>
            </w:r>
          </w:p>
        </w:tc>
        <w:tc>
          <w:tcPr>
            <w:tcW w:type="dxa" w:w="4032"/>
            <w:vAlign w:val="center"/>
          </w:tcPr>
          <w:p>
            <w:r/>
            <w:r>
              <w:rPr>
                <w:rFonts w:ascii="Arial" w:hAnsi="Arial"/>
                <w:b w:val="0"/>
                <w:sz w:val="16"/>
              </w:rPr>
              <w:t>Derived/External/Controlled Manual</w:t>
            </w:r>
          </w:p>
        </w:tc>
        <w:tc>
          <w:tcPr>
            <w:tcW w:type="dxa" w:w="3168"/>
            <w:vAlign w:val="center"/>
          </w:tcPr>
          <w:p>
            <w:r/>
            <w:r>
              <w:rPr>
                <w:rFonts w:ascii="Arial" w:hAnsi="Arial"/>
                <w:b w:val="0"/>
                <w:sz w:val="16"/>
              </w:rPr>
              <w:t>Chargeable Weight</w:t>
            </w:r>
          </w:p>
        </w:tc>
      </w:tr>
      <w:tr>
        <w:tc>
          <w:tcPr>
            <w:tcW w:type="dxa" w:w="2880"/>
            <w:vAlign w:val="center"/>
          </w:tcPr>
          <w:p>
            <w:r/>
            <w:r>
              <w:rPr>
                <w:rFonts w:ascii="Arial" w:hAnsi="Arial"/>
                <w:b w:val="0"/>
                <w:sz w:val="16"/>
              </w:rPr>
              <w:t>Chargeable Weight</w:t>
            </w:r>
          </w:p>
        </w:tc>
        <w:tc>
          <w:tcPr>
            <w:tcW w:type="dxa" w:w="2016"/>
            <w:vAlign w:val="center"/>
          </w:tcPr>
          <w:p>
            <w:r/>
            <w:r>
              <w:rPr>
                <w:rFonts w:ascii="Arial" w:hAnsi="Arial"/>
                <w:b w:val="0"/>
                <w:sz w:val="16"/>
              </w:rPr>
              <w:t>kg</w:t>
            </w:r>
          </w:p>
        </w:tc>
        <w:tc>
          <w:tcPr>
            <w:tcW w:type="dxa" w:w="4032"/>
            <w:vAlign w:val="center"/>
          </w:tcPr>
          <w:p>
            <w:r/>
            <w:r>
              <w:rPr>
                <w:rFonts w:ascii="Arial" w:hAnsi="Arial"/>
                <w:b w:val="0"/>
                <w:sz w:val="16"/>
              </w:rPr>
              <w:t>Derived/External/Controlled Manual</w:t>
            </w:r>
          </w:p>
        </w:tc>
        <w:tc>
          <w:tcPr>
            <w:tcW w:type="dxa" w:w="3168"/>
            <w:vAlign w:val="center"/>
          </w:tcPr>
          <w:p>
            <w:r/>
            <w:r>
              <w:rPr>
                <w:rFonts w:ascii="Arial" w:hAnsi="Arial"/>
                <w:b w:val="0"/>
                <w:sz w:val="16"/>
              </w:rPr>
              <w:t>Rating + Allocation</w:t>
            </w:r>
          </w:p>
        </w:tc>
      </w:tr>
    </w:tbl>
    <w:p/>
    <w:p>
      <w:r>
        <w:t>Mỗi measurement phải lưu tối thiểu type, value, UOM, source_type; derived measurement phải có calculation rule/version reference. Nếu lưu cả transaction summary field và child measurement table, DEV phải xác định một canonical owner và dùng projection/denormalization có kiểm soát, không tạo hai nguồn sự thật.</w:t>
      </w:r>
    </w:p>
    <w:p>
      <w:pPr>
        <w:pStyle w:val="Heading2"/>
      </w:pPr>
      <w:r>
        <w:t>9.2 Package</w:t>
      </w:r>
    </w:p>
    <w:p>
      <w:r>
        <w:t>Package count/type phục vụ rating và allocation. Package detail chỉ cần khi rule thực sự cần granular data; không bắt buộc LCMS trở thành hệ thống warehouse.</w:t>
      </w:r>
    </w:p>
    <w:p>
      <w:pPr>
        <w:pStyle w:val="Heading2"/>
      </w:pPr>
      <w:r>
        <w:t>9.3 Container</w:t>
      </w:r>
    </w:p>
    <w:p>
      <w:r>
        <w:t>Container Type/Quantity phục vụ FCL/container rate và allocation. Không quản lý container number/location/event tracking trong phạm vi core LCMS.</w:t>
      </w:r>
    </w:p>
    <w:p>
      <w:pPr>
        <w:pStyle w:val="Heading1"/>
      </w:pPr>
      <w:r>
        <w:t>10. Rating Context Contract với D04</w:t>
      </w:r>
    </w:p>
    <w:p>
      <w:r>
        <w:t>D03 phải cung cấp một Rating Context chuẩn cho D04. D04 không được đọc tùy tiện từ nhiều bảng và tự đoán precedence.</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1F4E78"/>
          </w:tcPr>
          <w:p>
            <w:r/>
            <w:r>
              <w:rPr>
                <w:rFonts w:ascii="Arial" w:hAnsi="Arial"/>
                <w:b/>
                <w:color w:val="FFFFFF"/>
                <w:sz w:val="16"/>
              </w:rPr>
              <w:t>Context</w:t>
            </w:r>
          </w:p>
        </w:tc>
        <w:tc>
          <w:tcPr>
            <w:tcW w:type="dxa" w:w="5760"/>
            <w:vAlign w:val="center"/>
            <w:shd w:fill="1F4E78"/>
          </w:tcPr>
          <w:p>
            <w:r/>
            <w:r>
              <w:rPr>
                <w:rFonts w:ascii="Arial" w:hAnsi="Arial"/>
                <w:b/>
                <w:color w:val="FFFFFF"/>
                <w:sz w:val="16"/>
              </w:rPr>
              <w:t>Nguồn ưu tiên</w:t>
            </w:r>
          </w:p>
        </w:tc>
        <w:tc>
          <w:tcPr>
            <w:tcW w:type="dxa" w:w="2304"/>
            <w:vAlign w:val="center"/>
            <w:shd w:fill="1F4E78"/>
          </w:tcPr>
          <w:p>
            <w:r/>
            <w:r>
              <w:rPr>
                <w:rFonts w:ascii="Arial" w:hAnsi="Arial"/>
                <w:b/>
                <w:color w:val="FFFFFF"/>
                <w:sz w:val="16"/>
              </w:rPr>
              <w:t>Bắt buộc snapshot?</w:t>
            </w:r>
          </w:p>
        </w:tc>
      </w:tr>
      <w:tr>
        <w:tc>
          <w:tcPr>
            <w:tcW w:type="dxa" w:w="3456"/>
            <w:vAlign w:val="center"/>
          </w:tcPr>
          <w:p>
            <w:r/>
            <w:r>
              <w:rPr>
                <w:rFonts w:ascii="Arial" w:hAnsi="Arial"/>
                <w:b w:val="0"/>
                <w:sz w:val="16"/>
              </w:rPr>
              <w:t>Customer</w:t>
            </w:r>
          </w:p>
        </w:tc>
        <w:tc>
          <w:tcPr>
            <w:tcW w:type="dxa" w:w="5760"/>
            <w:vAlign w:val="center"/>
          </w:tcPr>
          <w:p>
            <w:r/>
            <w:r>
              <w:rPr>
                <w:rFonts w:ascii="Arial" w:hAnsi="Arial"/>
                <w:b w:val="0"/>
                <w:sz w:val="16"/>
              </w:rPr>
              <w:t>Bill → Order fallback theo policy</w:t>
            </w:r>
          </w:p>
        </w:tc>
        <w:tc>
          <w:tcPr>
            <w:tcW w:type="dxa" w:w="2304"/>
            <w:vAlign w:val="center"/>
          </w:tcPr>
          <w:p>
            <w:r/>
            <w:r>
              <w:rPr>
                <w:rFonts w:ascii="Arial" w:hAnsi="Arial"/>
                <w:b w:val="0"/>
                <w:sz w:val="16"/>
              </w:rPr>
              <w:t>Có</w:t>
            </w:r>
          </w:p>
        </w:tc>
      </w:tr>
      <w:tr>
        <w:tc>
          <w:tcPr>
            <w:tcW w:type="dxa" w:w="3456"/>
            <w:vAlign w:val="center"/>
          </w:tcPr>
          <w:p>
            <w:r/>
            <w:r>
              <w:rPr>
                <w:rFonts w:ascii="Arial" w:hAnsi="Arial"/>
                <w:b w:val="0"/>
                <w:sz w:val="16"/>
              </w:rPr>
              <w:t>Vendor/Carrier</w:t>
            </w:r>
          </w:p>
        </w:tc>
        <w:tc>
          <w:tcPr>
            <w:tcW w:type="dxa" w:w="5760"/>
            <w:vAlign w:val="center"/>
          </w:tcPr>
          <w:p>
            <w:r/>
            <w:r>
              <w:rPr>
                <w:rFonts w:ascii="Arial" w:hAnsi="Arial"/>
                <w:b w:val="0"/>
                <w:sz w:val="16"/>
              </w:rPr>
              <w:t>Rating request/Movement/selected vendor</w:t>
            </w:r>
          </w:p>
        </w:tc>
        <w:tc>
          <w:tcPr>
            <w:tcW w:type="dxa" w:w="2304"/>
            <w:vAlign w:val="center"/>
          </w:tcPr>
          <w:p>
            <w:r/>
            <w:r>
              <w:rPr>
                <w:rFonts w:ascii="Arial" w:hAnsi="Arial"/>
                <w:b w:val="0"/>
                <w:sz w:val="16"/>
              </w:rPr>
              <w:t>Có</w:t>
            </w:r>
          </w:p>
        </w:tc>
      </w:tr>
      <w:tr>
        <w:tc>
          <w:tcPr>
            <w:tcW w:type="dxa" w:w="3456"/>
            <w:vAlign w:val="center"/>
          </w:tcPr>
          <w:p>
            <w:r/>
            <w:r>
              <w:rPr>
                <w:rFonts w:ascii="Arial" w:hAnsi="Arial"/>
                <w:b w:val="0"/>
                <w:sz w:val="16"/>
              </w:rPr>
              <w:t>Origin/Destination</w:t>
            </w:r>
          </w:p>
        </w:tc>
        <w:tc>
          <w:tcPr>
            <w:tcW w:type="dxa" w:w="5760"/>
            <w:vAlign w:val="center"/>
          </w:tcPr>
          <w:p>
            <w:r/>
            <w:r>
              <w:rPr>
                <w:rFonts w:ascii="Arial" w:hAnsi="Arial"/>
                <w:b w:val="0"/>
                <w:sz w:val="16"/>
              </w:rPr>
              <w:t>Bill → Order/Shipment/Leg context</w:t>
            </w:r>
          </w:p>
        </w:tc>
        <w:tc>
          <w:tcPr>
            <w:tcW w:type="dxa" w:w="2304"/>
            <w:vAlign w:val="center"/>
          </w:tcPr>
          <w:p>
            <w:r/>
            <w:r>
              <w:rPr>
                <w:rFonts w:ascii="Arial" w:hAnsi="Arial"/>
                <w:b w:val="0"/>
                <w:sz w:val="16"/>
              </w:rPr>
              <w:t>Có</w:t>
            </w:r>
          </w:p>
        </w:tc>
      </w:tr>
      <w:tr>
        <w:tc>
          <w:tcPr>
            <w:tcW w:type="dxa" w:w="3456"/>
            <w:vAlign w:val="center"/>
          </w:tcPr>
          <w:p>
            <w:r/>
            <w:r>
              <w:rPr>
                <w:rFonts w:ascii="Arial" w:hAnsi="Arial"/>
                <w:b w:val="0"/>
                <w:sz w:val="16"/>
              </w:rPr>
              <w:t>Mode/Service</w:t>
            </w:r>
          </w:p>
        </w:tc>
        <w:tc>
          <w:tcPr>
            <w:tcW w:type="dxa" w:w="5760"/>
            <w:vAlign w:val="center"/>
          </w:tcPr>
          <w:p>
            <w:r/>
            <w:r>
              <w:rPr>
                <w:rFonts w:ascii="Arial" w:hAnsi="Arial"/>
                <w:b w:val="0"/>
                <w:sz w:val="16"/>
              </w:rPr>
              <w:t>Bill/context</w:t>
            </w:r>
          </w:p>
        </w:tc>
        <w:tc>
          <w:tcPr>
            <w:tcW w:type="dxa" w:w="2304"/>
            <w:vAlign w:val="center"/>
          </w:tcPr>
          <w:p>
            <w:r/>
            <w:r>
              <w:rPr>
                <w:rFonts w:ascii="Arial" w:hAnsi="Arial"/>
                <w:b w:val="0"/>
                <w:sz w:val="16"/>
              </w:rPr>
              <w:t>Có</w:t>
            </w:r>
          </w:p>
        </w:tc>
      </w:tr>
      <w:tr>
        <w:tc>
          <w:tcPr>
            <w:tcW w:type="dxa" w:w="3456"/>
            <w:vAlign w:val="center"/>
          </w:tcPr>
          <w:p>
            <w:r/>
            <w:r>
              <w:rPr>
                <w:rFonts w:ascii="Arial" w:hAnsi="Arial"/>
                <w:b w:val="0"/>
                <w:sz w:val="16"/>
              </w:rPr>
              <w:t>Commodity/Flags</w:t>
            </w:r>
          </w:p>
        </w:tc>
        <w:tc>
          <w:tcPr>
            <w:tcW w:type="dxa" w:w="5760"/>
            <w:vAlign w:val="center"/>
          </w:tcPr>
          <w:p>
            <w:r/>
            <w:r>
              <w:rPr>
                <w:rFonts w:ascii="Arial" w:hAnsi="Arial"/>
                <w:b w:val="0"/>
                <w:sz w:val="16"/>
              </w:rPr>
              <w:t>Cargo context</w:t>
            </w:r>
          </w:p>
        </w:tc>
        <w:tc>
          <w:tcPr>
            <w:tcW w:type="dxa" w:w="2304"/>
            <w:vAlign w:val="center"/>
          </w:tcPr>
          <w:p>
            <w:r/>
            <w:r>
              <w:rPr>
                <w:rFonts w:ascii="Arial" w:hAnsi="Arial"/>
                <w:b w:val="0"/>
                <w:sz w:val="16"/>
              </w:rPr>
              <w:t>Có</w:t>
            </w:r>
          </w:p>
        </w:tc>
      </w:tr>
      <w:tr>
        <w:tc>
          <w:tcPr>
            <w:tcW w:type="dxa" w:w="3456"/>
            <w:vAlign w:val="center"/>
          </w:tcPr>
          <w:p>
            <w:r/>
            <w:r>
              <w:rPr>
                <w:rFonts w:ascii="Arial" w:hAnsi="Arial"/>
                <w:b w:val="0"/>
                <w:sz w:val="16"/>
              </w:rPr>
              <w:t>Incoterm</w:t>
            </w:r>
          </w:p>
        </w:tc>
        <w:tc>
          <w:tcPr>
            <w:tcW w:type="dxa" w:w="5760"/>
            <w:vAlign w:val="center"/>
          </w:tcPr>
          <w:p>
            <w:r/>
            <w:r>
              <w:rPr>
                <w:rFonts w:ascii="Arial" w:hAnsi="Arial"/>
                <w:b w:val="0"/>
                <w:sz w:val="16"/>
              </w:rPr>
              <w:t>Bill/Order</w:t>
            </w:r>
          </w:p>
        </w:tc>
        <w:tc>
          <w:tcPr>
            <w:tcW w:type="dxa" w:w="2304"/>
            <w:vAlign w:val="center"/>
          </w:tcPr>
          <w:p>
            <w:r/>
            <w:r>
              <w:rPr>
                <w:rFonts w:ascii="Arial" w:hAnsi="Arial"/>
                <w:b w:val="0"/>
                <w:sz w:val="16"/>
              </w:rPr>
              <w:t>Nếu rule dùng</w:t>
            </w:r>
          </w:p>
        </w:tc>
      </w:tr>
      <w:tr>
        <w:tc>
          <w:tcPr>
            <w:tcW w:type="dxa" w:w="3456"/>
            <w:vAlign w:val="center"/>
          </w:tcPr>
          <w:p>
            <w:r/>
            <w:r>
              <w:rPr>
                <w:rFonts w:ascii="Arial" w:hAnsi="Arial"/>
                <w:b w:val="0"/>
                <w:sz w:val="16"/>
              </w:rPr>
              <w:t>Actual Weight/Volume</w:t>
            </w:r>
          </w:p>
        </w:tc>
        <w:tc>
          <w:tcPr>
            <w:tcW w:type="dxa" w:w="5760"/>
            <w:vAlign w:val="center"/>
          </w:tcPr>
          <w:p>
            <w:r/>
            <w:r>
              <w:rPr>
                <w:rFonts w:ascii="Arial" w:hAnsi="Arial"/>
                <w:b w:val="0"/>
                <w:sz w:val="16"/>
              </w:rPr>
              <w:t>Canonical Measurement</w:t>
            </w:r>
          </w:p>
        </w:tc>
        <w:tc>
          <w:tcPr>
            <w:tcW w:type="dxa" w:w="2304"/>
            <w:vAlign w:val="center"/>
          </w:tcPr>
          <w:p>
            <w:r/>
            <w:r>
              <w:rPr>
                <w:rFonts w:ascii="Arial" w:hAnsi="Arial"/>
                <w:b w:val="0"/>
                <w:sz w:val="16"/>
              </w:rPr>
              <w:t>Có</w:t>
            </w:r>
          </w:p>
        </w:tc>
      </w:tr>
      <w:tr>
        <w:tc>
          <w:tcPr>
            <w:tcW w:type="dxa" w:w="3456"/>
            <w:vAlign w:val="center"/>
          </w:tcPr>
          <w:p>
            <w:r/>
            <w:r>
              <w:rPr>
                <w:rFonts w:ascii="Arial" w:hAnsi="Arial"/>
                <w:b w:val="0"/>
                <w:sz w:val="16"/>
              </w:rPr>
              <w:t>Volumetric/Chargeable Weight</w:t>
            </w:r>
          </w:p>
        </w:tc>
        <w:tc>
          <w:tcPr>
            <w:tcW w:type="dxa" w:w="5760"/>
            <w:vAlign w:val="center"/>
          </w:tcPr>
          <w:p>
            <w:r/>
            <w:r>
              <w:rPr>
                <w:rFonts w:ascii="Arial" w:hAnsi="Arial"/>
                <w:b w:val="0"/>
                <w:sz w:val="16"/>
              </w:rPr>
              <w:t>Confirmed/derived Measurement</w:t>
            </w:r>
          </w:p>
        </w:tc>
        <w:tc>
          <w:tcPr>
            <w:tcW w:type="dxa" w:w="2304"/>
            <w:vAlign w:val="center"/>
          </w:tcPr>
          <w:p>
            <w:r/>
            <w:r>
              <w:rPr>
                <w:rFonts w:ascii="Arial" w:hAnsi="Arial"/>
                <w:b w:val="0"/>
                <w:sz w:val="16"/>
              </w:rPr>
              <w:t>Có + rule/source</w:t>
            </w:r>
          </w:p>
        </w:tc>
      </w:tr>
      <w:tr>
        <w:tc>
          <w:tcPr>
            <w:tcW w:type="dxa" w:w="3456"/>
            <w:vAlign w:val="center"/>
          </w:tcPr>
          <w:p>
            <w:r/>
            <w:r>
              <w:rPr>
                <w:rFonts w:ascii="Arial" w:hAnsi="Arial"/>
                <w:b w:val="0"/>
                <w:sz w:val="16"/>
              </w:rPr>
              <w:t>Package Count</w:t>
            </w:r>
          </w:p>
        </w:tc>
        <w:tc>
          <w:tcPr>
            <w:tcW w:type="dxa" w:w="5760"/>
            <w:vAlign w:val="center"/>
          </w:tcPr>
          <w:p>
            <w:r/>
            <w:r>
              <w:rPr>
                <w:rFonts w:ascii="Arial" w:hAnsi="Arial"/>
                <w:b w:val="0"/>
                <w:sz w:val="16"/>
              </w:rPr>
              <w:t>Package Summary</w:t>
            </w:r>
          </w:p>
        </w:tc>
        <w:tc>
          <w:tcPr>
            <w:tcW w:type="dxa" w:w="2304"/>
            <w:vAlign w:val="center"/>
          </w:tcPr>
          <w:p>
            <w:r/>
            <w:r>
              <w:rPr>
                <w:rFonts w:ascii="Arial" w:hAnsi="Arial"/>
                <w:b w:val="0"/>
                <w:sz w:val="16"/>
              </w:rPr>
              <w:t>Nếu rule dùng</w:t>
            </w:r>
          </w:p>
        </w:tc>
      </w:tr>
      <w:tr>
        <w:tc>
          <w:tcPr>
            <w:tcW w:type="dxa" w:w="3456"/>
            <w:vAlign w:val="center"/>
          </w:tcPr>
          <w:p>
            <w:r/>
            <w:r>
              <w:rPr>
                <w:rFonts w:ascii="Arial" w:hAnsi="Arial"/>
                <w:b w:val="0"/>
                <w:sz w:val="16"/>
              </w:rPr>
              <w:t>Container Type/Qty</w:t>
            </w:r>
          </w:p>
        </w:tc>
        <w:tc>
          <w:tcPr>
            <w:tcW w:type="dxa" w:w="5760"/>
            <w:vAlign w:val="center"/>
          </w:tcPr>
          <w:p>
            <w:r/>
            <w:r>
              <w:rPr>
                <w:rFonts w:ascii="Arial" w:hAnsi="Arial"/>
                <w:b w:val="0"/>
                <w:sz w:val="16"/>
              </w:rPr>
              <w:t>Container Detail</w:t>
            </w:r>
          </w:p>
        </w:tc>
        <w:tc>
          <w:tcPr>
            <w:tcW w:type="dxa" w:w="2304"/>
            <w:vAlign w:val="center"/>
          </w:tcPr>
          <w:p>
            <w:r/>
            <w:r>
              <w:rPr>
                <w:rFonts w:ascii="Arial" w:hAnsi="Arial"/>
                <w:b w:val="0"/>
                <w:sz w:val="16"/>
              </w:rPr>
              <w:t>Nếu rule dùng</w:t>
            </w:r>
          </w:p>
        </w:tc>
      </w:tr>
      <w:tr>
        <w:tc>
          <w:tcPr>
            <w:tcW w:type="dxa" w:w="3456"/>
            <w:vAlign w:val="center"/>
          </w:tcPr>
          <w:p>
            <w:r/>
            <w:r>
              <w:rPr>
                <w:rFonts w:ascii="Arial" w:hAnsi="Arial"/>
                <w:b w:val="0"/>
                <w:sz w:val="16"/>
              </w:rPr>
              <w:t>Movement</w:t>
            </w:r>
          </w:p>
        </w:tc>
        <w:tc>
          <w:tcPr>
            <w:tcW w:type="dxa" w:w="5760"/>
            <w:vAlign w:val="center"/>
          </w:tcPr>
          <w:p>
            <w:r/>
            <w:r>
              <w:rPr>
                <w:rFonts w:ascii="Arial" w:hAnsi="Arial"/>
                <w:b w:val="0"/>
                <w:sz w:val="16"/>
              </w:rPr>
              <w:t>Movement reference</w:t>
            </w:r>
          </w:p>
        </w:tc>
        <w:tc>
          <w:tcPr>
            <w:tcW w:type="dxa" w:w="2304"/>
            <w:vAlign w:val="center"/>
          </w:tcPr>
          <w:p>
            <w:r/>
            <w:r>
              <w:rPr>
                <w:rFonts w:ascii="Arial" w:hAnsi="Arial"/>
                <w:b w:val="0"/>
                <w:sz w:val="16"/>
              </w:rPr>
              <w:t>Nếu rule dùng</w:t>
            </w:r>
          </w:p>
        </w:tc>
      </w:tr>
      <w:tr>
        <w:tc>
          <w:tcPr>
            <w:tcW w:type="dxa" w:w="3456"/>
            <w:vAlign w:val="center"/>
          </w:tcPr>
          <w:p>
            <w:r/>
            <w:r>
              <w:rPr>
                <w:rFonts w:ascii="Arial" w:hAnsi="Arial"/>
                <w:b w:val="0"/>
                <w:sz w:val="16"/>
              </w:rPr>
              <w:t>Applicable Date</w:t>
            </w:r>
          </w:p>
        </w:tc>
        <w:tc>
          <w:tcPr>
            <w:tcW w:type="dxa" w:w="5760"/>
            <w:vAlign w:val="center"/>
          </w:tcPr>
          <w:p>
            <w:r/>
            <w:r>
              <w:rPr>
                <w:rFonts w:ascii="Arial" w:hAnsi="Arial"/>
                <w:b w:val="0"/>
                <w:sz w:val="16"/>
              </w:rPr>
              <w:t>Rating request/policy</w:t>
            </w:r>
          </w:p>
        </w:tc>
        <w:tc>
          <w:tcPr>
            <w:tcW w:type="dxa" w:w="2304"/>
            <w:vAlign w:val="center"/>
          </w:tcPr>
          <w:p>
            <w:r/>
            <w:r>
              <w:rPr>
                <w:rFonts w:ascii="Arial" w:hAnsi="Arial"/>
                <w:b w:val="0"/>
                <w:sz w:val="16"/>
              </w:rPr>
              <w:t>Có</w:t>
            </w:r>
          </w:p>
        </w:tc>
      </w:tr>
      <w:tr>
        <w:tc>
          <w:tcPr>
            <w:tcW w:type="dxa" w:w="3456"/>
            <w:vAlign w:val="center"/>
          </w:tcPr>
          <w:p>
            <w:r/>
            <w:r>
              <w:rPr>
                <w:rFonts w:ascii="Arial" w:hAnsi="Arial"/>
                <w:b w:val="0"/>
                <w:sz w:val="16"/>
              </w:rPr>
              <w:t>Currency/FX context</w:t>
            </w:r>
          </w:p>
        </w:tc>
        <w:tc>
          <w:tcPr>
            <w:tcW w:type="dxa" w:w="5760"/>
            <w:vAlign w:val="center"/>
          </w:tcPr>
          <w:p>
            <w:r/>
            <w:r>
              <w:rPr>
                <w:rFonts w:ascii="Arial" w:hAnsi="Arial"/>
                <w:b w:val="0"/>
                <w:sz w:val="16"/>
              </w:rPr>
              <w:t>Rate/transaction</w:t>
            </w:r>
          </w:p>
        </w:tc>
        <w:tc>
          <w:tcPr>
            <w:tcW w:type="dxa" w:w="2304"/>
            <w:vAlign w:val="center"/>
          </w:tcPr>
          <w:p>
            <w:r/>
            <w:r>
              <w:rPr>
                <w:rFonts w:ascii="Arial" w:hAnsi="Arial"/>
                <w:b w:val="0"/>
                <w:sz w:val="16"/>
              </w:rPr>
              <w:t>Có</w:t>
            </w:r>
          </w:p>
        </w:tc>
      </w:tr>
    </w:tbl>
    <w:p/>
    <w:p>
      <w:r>
        <w:rPr>
          <w:b/>
          <w:color w:val="1F4E79"/>
        </w:rPr>
        <w:t xml:space="preserve">Immutable Rating Snapshot: </w:t>
      </w:r>
      <w:r>
        <w:t>Sau khi Rating được tạo, hệ thống phải giữ inputs, selected rate/version/rule, normalized values, calculation breakdown và source context. Sửa Bill/Order sau đó không được rewrite Rating cũ; rerate tạo kết quả/version mới theo D04.</w:t>
      </w:r>
    </w:p>
    <w:p>
      <w:pPr>
        <w:pStyle w:val="Heading1"/>
      </w:pPr>
      <w:r>
        <w:t>11. Manual / Import / API và Source-of-Truth</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
              <w:rPr>
                <w:rFonts w:ascii="Arial" w:hAnsi="Arial"/>
                <w:b/>
                <w:color w:val="FFFFFF"/>
                <w:sz w:val="16"/>
              </w:rPr>
              <w:t>Channel</w:t>
            </w:r>
          </w:p>
        </w:tc>
        <w:tc>
          <w:tcPr>
            <w:tcW w:type="dxa" w:w="6480"/>
            <w:vAlign w:val="center"/>
            <w:shd w:fill="1F4E78"/>
          </w:tcPr>
          <w:p>
            <w:r/>
            <w:r>
              <w:rPr>
                <w:rFonts w:ascii="Arial" w:hAnsi="Arial"/>
                <w:b/>
                <w:color w:val="FFFFFF"/>
                <w:sz w:val="16"/>
              </w:rPr>
              <w:t>Flow bắt buộc</w:t>
            </w:r>
          </w:p>
        </w:tc>
        <w:tc>
          <w:tcPr>
            <w:tcW w:type="dxa" w:w="3168"/>
            <w:vAlign w:val="center"/>
            <w:shd w:fill="1F4E78"/>
          </w:tcPr>
          <w:p>
            <w:r/>
            <w:r>
              <w:rPr>
                <w:rFonts w:ascii="Arial" w:hAnsi="Arial"/>
                <w:b/>
                <w:color w:val="FFFFFF"/>
                <w:sz w:val="16"/>
              </w:rPr>
              <w:t>Provenance</w:t>
            </w:r>
          </w:p>
        </w:tc>
      </w:tr>
      <w:tr>
        <w:tc>
          <w:tcPr>
            <w:tcW w:type="dxa" w:w="2016"/>
            <w:vAlign w:val="center"/>
          </w:tcPr>
          <w:p>
            <w:r/>
            <w:r>
              <w:rPr>
                <w:rFonts w:ascii="Arial" w:hAnsi="Arial"/>
                <w:b w:val="0"/>
                <w:sz w:val="16"/>
              </w:rPr>
              <w:t>Manual</w:t>
            </w:r>
          </w:p>
        </w:tc>
        <w:tc>
          <w:tcPr>
            <w:tcW w:type="dxa" w:w="6480"/>
            <w:vAlign w:val="center"/>
          </w:tcPr>
          <w:p>
            <w:r/>
            <w:r>
              <w:rPr>
                <w:rFonts w:ascii="Arial" w:hAnsi="Arial"/>
                <w:b w:val="0"/>
                <w:sz w:val="16"/>
              </w:rPr>
              <w:t>UI → domain command → validation → persistence</w:t>
            </w:r>
          </w:p>
        </w:tc>
        <w:tc>
          <w:tcPr>
            <w:tcW w:type="dxa" w:w="3168"/>
            <w:vAlign w:val="center"/>
          </w:tcPr>
          <w:p>
            <w:r/>
            <w:r>
              <w:rPr>
                <w:rFonts w:ascii="Arial" w:hAnsi="Arial"/>
                <w:b w:val="0"/>
                <w:sz w:val="16"/>
              </w:rPr>
              <w:t>actor, time, source=MANUAL, reason khi override</w:t>
            </w:r>
          </w:p>
        </w:tc>
      </w:tr>
      <w:tr>
        <w:tc>
          <w:tcPr>
            <w:tcW w:type="dxa" w:w="2016"/>
            <w:vAlign w:val="center"/>
          </w:tcPr>
          <w:p>
            <w:r/>
            <w:r>
              <w:rPr>
                <w:rFonts w:ascii="Arial" w:hAnsi="Arial"/>
                <w:b w:val="0"/>
                <w:sz w:val="16"/>
              </w:rPr>
              <w:t>Import</w:t>
            </w:r>
          </w:p>
        </w:tc>
        <w:tc>
          <w:tcPr>
            <w:tcW w:type="dxa" w:w="6480"/>
            <w:vAlign w:val="center"/>
          </w:tcPr>
          <w:p>
            <w:r/>
            <w:r>
              <w:rPr>
                <w:rFonts w:ascii="Arial" w:hAnsi="Arial"/>
                <w:b w:val="0"/>
                <w:sz w:val="16"/>
              </w:rPr>
              <w:t>Upload → mapping → validate → preview → row/field errors → dedupe/idempotency → commit</w:t>
            </w:r>
          </w:p>
        </w:tc>
        <w:tc>
          <w:tcPr>
            <w:tcW w:type="dxa" w:w="3168"/>
            <w:vAlign w:val="center"/>
          </w:tcPr>
          <w:p>
            <w:r/>
            <w:r>
              <w:rPr>
                <w:rFonts w:ascii="Arial" w:hAnsi="Arial"/>
                <w:b w:val="0"/>
                <w:sz w:val="16"/>
              </w:rPr>
              <w:t>batch/file/row/source=IMPORT</w:t>
            </w:r>
          </w:p>
        </w:tc>
      </w:tr>
      <w:tr>
        <w:tc>
          <w:tcPr>
            <w:tcW w:type="dxa" w:w="2016"/>
            <w:vAlign w:val="center"/>
          </w:tcPr>
          <w:p>
            <w:r/>
            <w:r>
              <w:rPr>
                <w:rFonts w:ascii="Arial" w:hAnsi="Arial"/>
                <w:b w:val="0"/>
                <w:sz w:val="16"/>
              </w:rPr>
              <w:t>API</w:t>
            </w:r>
          </w:p>
        </w:tc>
        <w:tc>
          <w:tcPr>
            <w:tcW w:type="dxa" w:w="6480"/>
            <w:vAlign w:val="center"/>
          </w:tcPr>
          <w:p>
            <w:r/>
            <w:r>
              <w:rPr>
                <w:rFonts w:ascii="Arial" w:hAnsi="Arial"/>
                <w:b w:val="0"/>
                <w:sz w:val="16"/>
              </w:rPr>
              <w:t>Authenticate → idempotent upsert/link → ownership validation → persistence</w:t>
            </w:r>
          </w:p>
        </w:tc>
        <w:tc>
          <w:tcPr>
            <w:tcW w:type="dxa" w:w="3168"/>
            <w:vAlign w:val="center"/>
          </w:tcPr>
          <w:p>
            <w:r/>
            <w:r>
              <w:rPr>
                <w:rFonts w:ascii="Arial" w:hAnsi="Arial"/>
                <w:b w:val="0"/>
                <w:sz w:val="16"/>
              </w:rPr>
              <w:t>source_system, external_id, correlation/idempotency key</w:t>
            </w:r>
          </w:p>
        </w:tc>
      </w:tr>
      <w:tr>
        <w:tc>
          <w:tcPr>
            <w:tcW w:type="dxa" w:w="2016"/>
            <w:vAlign w:val="center"/>
          </w:tcPr>
          <w:p>
            <w:r/>
            <w:r>
              <w:rPr>
                <w:rFonts w:ascii="Arial" w:hAnsi="Arial"/>
                <w:b w:val="0"/>
                <w:sz w:val="16"/>
              </w:rPr>
              <w:t>Derived</w:t>
            </w:r>
          </w:p>
        </w:tc>
        <w:tc>
          <w:tcPr>
            <w:tcW w:type="dxa" w:w="6480"/>
            <w:vAlign w:val="center"/>
          </w:tcPr>
          <w:p>
            <w:r/>
            <w:r>
              <w:rPr>
                <w:rFonts w:ascii="Arial" w:hAnsi="Arial"/>
                <w:b w:val="0"/>
                <w:sz w:val="16"/>
              </w:rPr>
              <w:t>Rule engine → calculated value → validation → persistence/snapshot</w:t>
            </w:r>
          </w:p>
        </w:tc>
        <w:tc>
          <w:tcPr>
            <w:tcW w:type="dxa" w:w="3168"/>
            <w:vAlign w:val="center"/>
          </w:tcPr>
          <w:p>
            <w:r/>
            <w:r>
              <w:rPr>
                <w:rFonts w:ascii="Arial" w:hAnsi="Arial"/>
                <w:b w:val="0"/>
                <w:sz w:val="16"/>
              </w:rPr>
              <w:t>rule/version/input refs</w:t>
            </w:r>
          </w:p>
        </w:tc>
      </w:tr>
      <w:tr>
        <w:tc>
          <w:tcPr>
            <w:tcW w:type="dxa" w:w="2016"/>
            <w:vAlign w:val="center"/>
          </w:tcPr>
          <w:p>
            <w:r/>
            <w:r>
              <w:rPr>
                <w:rFonts w:ascii="Arial" w:hAnsi="Arial"/>
                <w:b w:val="0"/>
                <w:sz w:val="16"/>
              </w:rPr>
              <w:t>Snapshot</w:t>
            </w:r>
          </w:p>
        </w:tc>
        <w:tc>
          <w:tcPr>
            <w:tcW w:type="dxa" w:w="6480"/>
            <w:vAlign w:val="center"/>
          </w:tcPr>
          <w:p>
            <w:r/>
            <w:r>
              <w:rPr>
                <w:rFonts w:ascii="Arial" w:hAnsi="Arial"/>
                <w:b w:val="0"/>
                <w:sz w:val="16"/>
              </w:rPr>
              <w:t>System capture tại material event</w:t>
            </w:r>
          </w:p>
        </w:tc>
        <w:tc>
          <w:tcPr>
            <w:tcW w:type="dxa" w:w="3168"/>
            <w:vAlign w:val="center"/>
          </w:tcPr>
          <w:p>
            <w:r/>
            <w:r>
              <w:rPr>
                <w:rFonts w:ascii="Arial" w:hAnsi="Arial"/>
                <w:b w:val="0"/>
                <w:sz w:val="16"/>
              </w:rPr>
              <w:t>source refs + captured values</w:t>
            </w:r>
          </w:p>
        </w:tc>
      </w:tr>
    </w:tbl>
    <w:p/>
    <w:p>
      <w:r>
        <w:rPr>
          <w:b/>
          <w:color w:val="1F4E79"/>
        </w:rPr>
        <w:t xml:space="preserve">SoT conflict: </w:t>
      </w:r>
      <w:r>
        <w:t>Nếu field được cấu hình external-owned, Manual Entry không được silently overwrite. Có thể block hoặc controlled override tùy policy, nhưng override phải có permission, reason và audit.</w:t>
      </w:r>
    </w:p>
    <w:p>
      <w:r>
        <w:rPr>
          <w:b/>
          <w:color w:val="1F4E79"/>
        </w:rPr>
        <w:t xml:space="preserve">No connector dependency: </w:t>
      </w:r>
      <w:r>
        <w:t>UI/Manual/Import có thể được xây và test bằng canonical APIs/data ngay cả khi chưa có live connector. Live connector là adapter, không phải điều kiện để core D03 tồn tại.</w:t>
      </w:r>
    </w:p>
    <w:p>
      <w:pPr>
        <w:pStyle w:val="Heading1"/>
      </w:pPr>
      <w:r>
        <w:t>12. UI/UX tối thiểu cho Operational Reference</w:t>
      </w:r>
    </w:p>
    <w:p>
      <w:r>
        <w:t>Mỗi object được bật capability phải có tối thiểu:</w:t>
      </w:r>
    </w:p>
    <w:p>
      <w:pPr>
        <w:pStyle w:val="ListBullet"/>
      </w:pPr>
      <w:r>
        <w:t>LIST — danh sách có filter/sort/pagination phù hợp.</w:t>
      </w:r>
    </w:p>
    <w:p>
      <w:pPr>
        <w:pStyle w:val="ListBullet"/>
      </w:pPr>
      <w:r>
        <w:t>SEARCH — tìm theo business number và các field nhận diện chính.</w:t>
      </w:r>
    </w:p>
    <w:p>
      <w:pPr>
        <w:pStyle w:val="ListBullet"/>
      </w:pPr>
      <w:r>
        <w:t>DETAIL — xem đầy đủ operational context cần cho LCMS.</w:t>
      </w:r>
    </w:p>
    <w:p>
      <w:pPr>
        <w:pStyle w:val="ListBullet"/>
      </w:pPr>
      <w:r>
        <w:t>RELATIONSHIP VIEW — xem object liên quan và cardinality.</w:t>
      </w:r>
    </w:p>
    <w:p>
      <w:pPr>
        <w:pStyle w:val="ListBullet"/>
      </w:pPr>
      <w:r>
        <w:t>CROSS-NAVIGATION — đi trực tiếp Order ↔ Bill ↔ Shipment ↔ Chặng ↔ Chuyến.</w:t>
      </w:r>
    </w:p>
    <w:p>
      <w:pPr>
        <w:pStyle w:val="ListBullet"/>
      </w:pPr>
      <w:r>
        <w:t>CREATE/EDIT — chỉ khi Manual capability cho phép.</w:t>
      </w:r>
    </w:p>
    <w:p>
      <w:pPr>
        <w:pStyle w:val="ListBullet"/>
      </w:pPr>
      <w:r>
        <w:t>IMPORT — khi Import capability cho phép.</w:t>
      </w:r>
    </w:p>
    <w:p>
      <w:pPr>
        <w:pStyle w:val="ListBullet"/>
      </w:pPr>
      <w:r>
        <w:t>SYNC/PROVENANCE — hiển thị nguồn, trạng thái sync/error khi API capability bật.</w:t>
      </w:r>
    </w:p>
    <w:p>
      <w:r>
        <w:t>Navigation khuyến nghị trong nhóm Đơn hàng vận chuyển: Đơn hàng | Bill | Shipment | Chặng &amp; Chuyến. Bill vẫn là màn hình tài chính sâu nhất.</w:t>
      </w:r>
    </w:p>
    <w:p>
      <w:pPr>
        <w:pStyle w:val="Heading1"/>
      </w:pPr>
      <w:r>
        <w:t>13. Validation và lỗi nghiệp vụ</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78"/>
          </w:tcPr>
          <w:p>
            <w:r/>
            <w:r>
              <w:rPr>
                <w:rFonts w:ascii="Arial" w:hAnsi="Arial"/>
                <w:b/>
                <w:color w:val="FFFFFF"/>
                <w:sz w:val="16"/>
              </w:rPr>
              <w:t>Rule</w:t>
            </w:r>
          </w:p>
        </w:tc>
        <w:tc>
          <w:tcPr>
            <w:tcW w:type="dxa" w:w="8496"/>
            <w:vAlign w:val="center"/>
            <w:shd w:fill="1F4E78"/>
          </w:tcPr>
          <w:p>
            <w:r/>
            <w:r>
              <w:rPr>
                <w:rFonts w:ascii="Arial" w:hAnsi="Arial"/>
                <w:b/>
                <w:color w:val="FFFFFF"/>
                <w:sz w:val="16"/>
              </w:rPr>
              <w:t>Behavior</w:t>
            </w:r>
          </w:p>
        </w:tc>
      </w:tr>
      <w:tr>
        <w:tc>
          <w:tcPr>
            <w:tcW w:type="dxa" w:w="3312"/>
            <w:vAlign w:val="center"/>
          </w:tcPr>
          <w:p>
            <w:r/>
            <w:r>
              <w:rPr>
                <w:rFonts w:ascii="Arial" w:hAnsi="Arial"/>
                <w:b w:val="0"/>
                <w:sz w:val="16"/>
              </w:rPr>
              <w:t>Identity duplicate</w:t>
            </w:r>
          </w:p>
        </w:tc>
        <w:tc>
          <w:tcPr>
            <w:tcW w:type="dxa" w:w="8496"/>
            <w:vAlign w:val="center"/>
          </w:tcPr>
          <w:p>
            <w:r/>
            <w:r>
              <w:rPr>
                <w:rFonts w:ascii="Arial" w:hAnsi="Arial"/>
                <w:b w:val="0"/>
                <w:sz w:val="16"/>
              </w:rPr>
              <w:t>Reject hoặc duplicate warning theo object/policy; không tạo duplicate ngầm.</w:t>
            </w:r>
          </w:p>
        </w:tc>
      </w:tr>
      <w:tr>
        <w:tc>
          <w:tcPr>
            <w:tcW w:type="dxa" w:w="3312"/>
            <w:vAlign w:val="center"/>
          </w:tcPr>
          <w:p>
            <w:r/>
            <w:r>
              <w:rPr>
                <w:rFonts w:ascii="Arial" w:hAnsi="Arial"/>
                <w:b w:val="0"/>
                <w:sz w:val="16"/>
              </w:rPr>
              <w:t>External identity</w:t>
            </w:r>
          </w:p>
        </w:tc>
        <w:tc>
          <w:tcPr>
            <w:tcW w:type="dxa" w:w="8496"/>
            <w:vAlign w:val="center"/>
          </w:tcPr>
          <w:p>
            <w:r/>
            <w:r>
              <w:rPr>
                <w:rFonts w:ascii="Arial" w:hAnsi="Arial"/>
                <w:b w:val="0"/>
                <w:sz w:val="16"/>
              </w:rPr>
              <w:t>source_system + external_id phải idempotent.</w:t>
            </w:r>
          </w:p>
        </w:tc>
      </w:tr>
      <w:tr>
        <w:tc>
          <w:tcPr>
            <w:tcW w:type="dxa" w:w="3312"/>
            <w:vAlign w:val="center"/>
          </w:tcPr>
          <w:p>
            <w:r/>
            <w:r>
              <w:rPr>
                <w:rFonts w:ascii="Arial" w:hAnsi="Arial"/>
                <w:b w:val="0"/>
                <w:sz w:val="16"/>
              </w:rPr>
              <w:t>Cross-tenant reference</w:t>
            </w:r>
          </w:p>
        </w:tc>
        <w:tc>
          <w:tcPr>
            <w:tcW w:type="dxa" w:w="8496"/>
            <w:vAlign w:val="center"/>
          </w:tcPr>
          <w:p>
            <w:r/>
            <w:r>
              <w:rPr>
                <w:rFonts w:ascii="Arial" w:hAnsi="Arial"/>
                <w:b w:val="0"/>
                <w:sz w:val="16"/>
              </w:rPr>
              <w:t>Hard reject.</w:t>
            </w:r>
          </w:p>
        </w:tc>
      </w:tr>
      <w:tr>
        <w:tc>
          <w:tcPr>
            <w:tcW w:type="dxa" w:w="3312"/>
            <w:vAlign w:val="center"/>
          </w:tcPr>
          <w:p>
            <w:r/>
            <w:r>
              <w:rPr>
                <w:rFonts w:ascii="Arial" w:hAnsi="Arial"/>
                <w:b w:val="0"/>
                <w:sz w:val="16"/>
              </w:rPr>
              <w:t>Invalid Location/Party/Master</w:t>
            </w:r>
          </w:p>
        </w:tc>
        <w:tc>
          <w:tcPr>
            <w:tcW w:type="dxa" w:w="8496"/>
            <w:vAlign w:val="center"/>
          </w:tcPr>
          <w:p>
            <w:r/>
            <w:r>
              <w:rPr>
                <w:rFonts w:ascii="Arial" w:hAnsi="Arial"/>
                <w:b w:val="0"/>
                <w:sz w:val="16"/>
              </w:rPr>
              <w:t>Field error; không persist FK không hợp lệ.</w:t>
            </w:r>
          </w:p>
        </w:tc>
      </w:tr>
      <w:tr>
        <w:tc>
          <w:tcPr>
            <w:tcW w:type="dxa" w:w="3312"/>
            <w:vAlign w:val="center"/>
          </w:tcPr>
          <w:p>
            <w:r/>
            <w:r>
              <w:rPr>
                <w:rFonts w:ascii="Arial" w:hAnsi="Arial"/>
                <w:b w:val="0"/>
                <w:sz w:val="16"/>
              </w:rPr>
              <w:t>Invalid measurement/UOM</w:t>
            </w:r>
          </w:p>
        </w:tc>
        <w:tc>
          <w:tcPr>
            <w:tcW w:type="dxa" w:w="8496"/>
            <w:vAlign w:val="center"/>
          </w:tcPr>
          <w:p>
            <w:r/>
            <w:r>
              <w:rPr>
                <w:rFonts w:ascii="Arial" w:hAnsi="Arial"/>
                <w:b w:val="0"/>
                <w:sz w:val="16"/>
              </w:rPr>
              <w:t>Field error; không tự đoán UOM.</w:t>
            </w:r>
          </w:p>
        </w:tc>
      </w:tr>
      <w:tr>
        <w:tc>
          <w:tcPr>
            <w:tcW w:type="dxa" w:w="3312"/>
            <w:vAlign w:val="center"/>
          </w:tcPr>
          <w:p>
            <w:r/>
            <w:r>
              <w:rPr>
                <w:rFonts w:ascii="Arial" w:hAnsi="Arial"/>
                <w:b w:val="0"/>
                <w:sz w:val="16"/>
              </w:rPr>
              <w:t>Chargeable overwrite</w:t>
            </w:r>
          </w:p>
        </w:tc>
        <w:tc>
          <w:tcPr>
            <w:tcW w:type="dxa" w:w="8496"/>
            <w:vAlign w:val="center"/>
          </w:tcPr>
          <w:p>
            <w:r/>
            <w:r>
              <w:rPr>
                <w:rFonts w:ascii="Arial" w:hAnsi="Arial"/>
                <w:b w:val="0"/>
                <w:sz w:val="16"/>
              </w:rPr>
              <w:t>Yêu cầu explicit confirmation/controlled rerate; không silent overwrite.</w:t>
            </w:r>
          </w:p>
        </w:tc>
      </w:tr>
      <w:tr>
        <w:tc>
          <w:tcPr>
            <w:tcW w:type="dxa" w:w="3312"/>
            <w:vAlign w:val="center"/>
          </w:tcPr>
          <w:p>
            <w:r/>
            <w:r>
              <w:rPr>
                <w:rFonts w:ascii="Arial" w:hAnsi="Arial"/>
                <w:b w:val="0"/>
                <w:sz w:val="16"/>
              </w:rPr>
              <w:t>Relationship invalid</w:t>
            </w:r>
          </w:p>
        </w:tc>
        <w:tc>
          <w:tcPr>
            <w:tcW w:type="dxa" w:w="8496"/>
            <w:vAlign w:val="center"/>
          </w:tcPr>
          <w:p>
            <w:r/>
            <w:r>
              <w:rPr>
                <w:rFonts w:ascii="Arial" w:hAnsi="Arial"/>
                <w:b w:val="0"/>
                <w:sz w:val="16"/>
              </w:rPr>
              <w:t>Reject + audit; hai đầu phải tồn tại và cùng tenant.</w:t>
            </w:r>
          </w:p>
        </w:tc>
      </w:tr>
      <w:tr>
        <w:tc>
          <w:tcPr>
            <w:tcW w:type="dxa" w:w="3312"/>
            <w:vAlign w:val="center"/>
          </w:tcPr>
          <w:p>
            <w:r/>
            <w:r>
              <w:rPr>
                <w:rFonts w:ascii="Arial" w:hAnsi="Arial"/>
                <w:b w:val="0"/>
                <w:sz w:val="16"/>
              </w:rPr>
              <w:t>Import errors</w:t>
            </w:r>
          </w:p>
        </w:tc>
        <w:tc>
          <w:tcPr>
            <w:tcW w:type="dxa" w:w="8496"/>
            <w:vAlign w:val="center"/>
          </w:tcPr>
          <w:p>
            <w:r/>
            <w:r>
              <w:rPr>
                <w:rFonts w:ascii="Arial" w:hAnsi="Arial"/>
                <w:b w:val="0"/>
                <w:sz w:val="16"/>
              </w:rPr>
              <w:t>Trả row/field error; transaction policy rõ; không bỏ qua lỗi ngầm.</w:t>
            </w:r>
          </w:p>
        </w:tc>
      </w:tr>
      <w:tr>
        <w:tc>
          <w:tcPr>
            <w:tcW w:type="dxa" w:w="3312"/>
            <w:vAlign w:val="center"/>
          </w:tcPr>
          <w:p>
            <w:r/>
            <w:r>
              <w:rPr>
                <w:rFonts w:ascii="Arial" w:hAnsi="Arial"/>
                <w:b w:val="0"/>
                <w:sz w:val="16"/>
              </w:rPr>
              <w:t>SoT conflict</w:t>
            </w:r>
          </w:p>
        </w:tc>
        <w:tc>
          <w:tcPr>
            <w:tcW w:type="dxa" w:w="8496"/>
            <w:vAlign w:val="center"/>
          </w:tcPr>
          <w:p>
            <w:r/>
            <w:r>
              <w:rPr>
                <w:rFonts w:ascii="Arial" w:hAnsi="Arial"/>
                <w:b w:val="0"/>
                <w:sz w:val="16"/>
              </w:rPr>
              <w:t>Block/controlled override theo ownership policy.</w:t>
            </w:r>
          </w:p>
        </w:tc>
      </w:tr>
    </w:tbl>
    <w:p/>
    <w:p>
      <w:pPr>
        <w:pStyle w:val="Heading1"/>
      </w:pPr>
      <w:r>
        <w:t>14. Gap cần DEV bổ sung so với baseline hiện tại</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8"/>
          </w:tcPr>
          <w:p>
            <w:r/>
            <w:r>
              <w:rPr>
                <w:rFonts w:ascii="Arial" w:hAnsi="Arial"/>
                <w:b/>
                <w:color w:val="FFFFFF"/>
                <w:sz w:val="16"/>
              </w:rPr>
              <w:t>ID</w:t>
            </w:r>
          </w:p>
        </w:tc>
        <w:tc>
          <w:tcPr>
            <w:tcW w:type="dxa" w:w="3168"/>
            <w:vAlign w:val="center"/>
            <w:shd w:fill="1F4E78"/>
          </w:tcPr>
          <w:p>
            <w:r/>
            <w:r>
              <w:rPr>
                <w:rFonts w:ascii="Arial" w:hAnsi="Arial"/>
                <w:b/>
                <w:color w:val="FFFFFF"/>
                <w:sz w:val="16"/>
              </w:rPr>
              <w:t>Gap</w:t>
            </w:r>
          </w:p>
        </w:tc>
        <w:tc>
          <w:tcPr>
            <w:tcW w:type="dxa" w:w="7200"/>
            <w:vAlign w:val="center"/>
            <w:shd w:fill="1F4E78"/>
          </w:tcPr>
          <w:p>
            <w:r/>
            <w:r>
              <w:rPr>
                <w:rFonts w:ascii="Arial" w:hAnsi="Arial"/>
                <w:b/>
                <w:color w:val="FFFFFF"/>
                <w:sz w:val="16"/>
              </w:rPr>
              <w:t>Yêu cầu</w:t>
            </w:r>
          </w:p>
        </w:tc>
      </w:tr>
      <w:tr>
        <w:tc>
          <w:tcPr>
            <w:tcW w:type="dxa" w:w="1728"/>
            <w:vAlign w:val="center"/>
          </w:tcPr>
          <w:p>
            <w:r/>
            <w:r>
              <w:rPr>
                <w:rFonts w:ascii="Arial" w:hAnsi="Arial"/>
                <w:b w:val="0"/>
                <w:sz w:val="16"/>
              </w:rPr>
              <w:t>GAP-001</w:t>
            </w:r>
          </w:p>
        </w:tc>
        <w:tc>
          <w:tcPr>
            <w:tcW w:type="dxa" w:w="3168"/>
            <w:vAlign w:val="center"/>
          </w:tcPr>
          <w:p>
            <w:r/>
            <w:r>
              <w:rPr>
                <w:rFonts w:ascii="Arial" w:hAnsi="Arial"/>
                <w:b w:val="0"/>
                <w:sz w:val="16"/>
              </w:rPr>
              <w:t>Party Contact/Snapshot</w:t>
            </w:r>
          </w:p>
        </w:tc>
        <w:tc>
          <w:tcPr>
            <w:tcW w:type="dxa" w:w="7200"/>
            <w:vAlign w:val="center"/>
          </w:tcPr>
          <w:p>
            <w:r/>
            <w:r>
              <w:rPr>
                <w:rFonts w:ascii="Arial" w:hAnsi="Arial"/>
                <w:b w:val="0"/>
                <w:sz w:val="16"/>
              </w:rPr>
              <w:t>Bổ sung canonical contact/address + role-based transaction snapshot.</w:t>
            </w:r>
          </w:p>
        </w:tc>
      </w:tr>
      <w:tr>
        <w:tc>
          <w:tcPr>
            <w:tcW w:type="dxa" w:w="1728"/>
            <w:vAlign w:val="center"/>
          </w:tcPr>
          <w:p>
            <w:r/>
            <w:r>
              <w:rPr>
                <w:rFonts w:ascii="Arial" w:hAnsi="Arial"/>
                <w:b w:val="0"/>
                <w:sz w:val="16"/>
              </w:rPr>
              <w:t>GAP-002</w:t>
            </w:r>
          </w:p>
        </w:tc>
        <w:tc>
          <w:tcPr>
            <w:tcW w:type="dxa" w:w="3168"/>
            <w:vAlign w:val="center"/>
          </w:tcPr>
          <w:p>
            <w:r/>
            <w:r>
              <w:rPr>
                <w:rFonts w:ascii="Arial" w:hAnsi="Arial"/>
                <w:b w:val="0"/>
                <w:sz w:val="16"/>
              </w:rPr>
              <w:t>Location/Route</w:t>
            </w:r>
          </w:p>
        </w:tc>
        <w:tc>
          <w:tcPr>
            <w:tcW w:type="dxa" w:w="7200"/>
            <w:vAlign w:val="center"/>
          </w:tcPr>
          <w:p>
            <w:r/>
            <w:r>
              <w:rPr>
                <w:rFonts w:ascii="Arial" w:hAnsi="Arial"/>
                <w:b w:val="0"/>
                <w:sz w:val="16"/>
              </w:rPr>
              <w:t>Khóa normalized Location/Route để rating/import không phụ thuộc free-text.</w:t>
            </w:r>
          </w:p>
        </w:tc>
      </w:tr>
      <w:tr>
        <w:tc>
          <w:tcPr>
            <w:tcW w:type="dxa" w:w="1728"/>
            <w:vAlign w:val="center"/>
          </w:tcPr>
          <w:p>
            <w:r/>
            <w:r>
              <w:rPr>
                <w:rFonts w:ascii="Arial" w:hAnsi="Arial"/>
                <w:b w:val="0"/>
                <w:sz w:val="16"/>
              </w:rPr>
              <w:t>GAP-003</w:t>
            </w:r>
          </w:p>
        </w:tc>
        <w:tc>
          <w:tcPr>
            <w:tcW w:type="dxa" w:w="3168"/>
            <w:vAlign w:val="center"/>
          </w:tcPr>
          <w:p>
            <w:r/>
            <w:r>
              <w:rPr>
                <w:rFonts w:ascii="Arial" w:hAnsi="Arial"/>
                <w:b w:val="0"/>
                <w:sz w:val="16"/>
              </w:rPr>
              <w:t>Commodity/Cargo</w:t>
            </w:r>
          </w:p>
        </w:tc>
        <w:tc>
          <w:tcPr>
            <w:tcW w:type="dxa" w:w="7200"/>
            <w:vAlign w:val="center"/>
          </w:tcPr>
          <w:p>
            <w:r/>
            <w:r>
              <w:rPr>
                <w:rFonts w:ascii="Arial" w:hAnsi="Arial"/>
                <w:b w:val="0"/>
                <w:sz w:val="16"/>
              </w:rPr>
              <w:t>Khóa taxonomy/flags phục vụ applicability/surcharge.</w:t>
            </w:r>
          </w:p>
        </w:tc>
      </w:tr>
      <w:tr>
        <w:tc>
          <w:tcPr>
            <w:tcW w:type="dxa" w:w="1728"/>
            <w:vAlign w:val="center"/>
          </w:tcPr>
          <w:p>
            <w:r/>
            <w:r>
              <w:rPr>
                <w:rFonts w:ascii="Arial" w:hAnsi="Arial"/>
                <w:b w:val="0"/>
                <w:sz w:val="16"/>
              </w:rPr>
              <w:t>GAP-004</w:t>
            </w:r>
          </w:p>
        </w:tc>
        <w:tc>
          <w:tcPr>
            <w:tcW w:type="dxa" w:w="3168"/>
            <w:vAlign w:val="center"/>
          </w:tcPr>
          <w:p>
            <w:r/>
            <w:r>
              <w:rPr>
                <w:rFonts w:ascii="Arial" w:hAnsi="Arial"/>
                <w:b w:val="0"/>
                <w:sz w:val="16"/>
              </w:rPr>
              <w:t>Operational field depth</w:t>
            </w:r>
          </w:p>
        </w:tc>
        <w:tc>
          <w:tcPr>
            <w:tcW w:type="dxa" w:w="7200"/>
            <w:vAlign w:val="center"/>
          </w:tcPr>
          <w:p>
            <w:r/>
            <w:r>
              <w:rPr>
                <w:rFonts w:ascii="Arial" w:hAnsi="Arial"/>
                <w:b w:val="0"/>
                <w:sz w:val="16"/>
              </w:rPr>
              <w:t>Bổ sung field-level context cho Order/Bill/Shipment/Leg/Movement.</w:t>
            </w:r>
          </w:p>
        </w:tc>
      </w:tr>
      <w:tr>
        <w:tc>
          <w:tcPr>
            <w:tcW w:type="dxa" w:w="1728"/>
            <w:vAlign w:val="center"/>
          </w:tcPr>
          <w:p>
            <w:r/>
            <w:r>
              <w:rPr>
                <w:rFonts w:ascii="Arial" w:hAnsi="Arial"/>
                <w:b w:val="0"/>
                <w:sz w:val="16"/>
              </w:rPr>
              <w:t>GAP-005</w:t>
            </w:r>
          </w:p>
        </w:tc>
        <w:tc>
          <w:tcPr>
            <w:tcW w:type="dxa" w:w="3168"/>
            <w:vAlign w:val="center"/>
          </w:tcPr>
          <w:p>
            <w:r/>
            <w:r>
              <w:rPr>
                <w:rFonts w:ascii="Arial" w:hAnsi="Arial"/>
                <w:b w:val="0"/>
                <w:sz w:val="16"/>
              </w:rPr>
              <w:t>Measurement</w:t>
            </w:r>
          </w:p>
        </w:tc>
        <w:tc>
          <w:tcPr>
            <w:tcW w:type="dxa" w:w="7200"/>
            <w:vAlign w:val="center"/>
          </w:tcPr>
          <w:p>
            <w:r/>
            <w:r>
              <w:rPr>
                <w:rFonts w:ascii="Arial" w:hAnsi="Arial"/>
                <w:b w:val="0"/>
                <w:sz w:val="16"/>
              </w:rPr>
              <w:t>Khóa canonical owner, UOM, source, calculation rule trace.</w:t>
            </w:r>
          </w:p>
        </w:tc>
      </w:tr>
      <w:tr>
        <w:tc>
          <w:tcPr>
            <w:tcW w:type="dxa" w:w="1728"/>
            <w:vAlign w:val="center"/>
          </w:tcPr>
          <w:p>
            <w:r/>
            <w:r>
              <w:rPr>
                <w:rFonts w:ascii="Arial" w:hAnsi="Arial"/>
                <w:b w:val="0"/>
                <w:sz w:val="16"/>
              </w:rPr>
              <w:t>GAP-006</w:t>
            </w:r>
          </w:p>
        </w:tc>
        <w:tc>
          <w:tcPr>
            <w:tcW w:type="dxa" w:w="3168"/>
            <w:vAlign w:val="center"/>
          </w:tcPr>
          <w:p>
            <w:r/>
            <w:r>
              <w:rPr>
                <w:rFonts w:ascii="Arial" w:hAnsi="Arial"/>
                <w:b w:val="0"/>
                <w:sz w:val="16"/>
              </w:rPr>
              <w:t>Package/Container</w:t>
            </w:r>
          </w:p>
        </w:tc>
        <w:tc>
          <w:tcPr>
            <w:tcW w:type="dxa" w:w="7200"/>
            <w:vAlign w:val="center"/>
          </w:tcPr>
          <w:p>
            <w:r/>
            <w:r>
              <w:rPr>
                <w:rFonts w:ascii="Arial" w:hAnsi="Arial"/>
                <w:b w:val="0"/>
                <w:sz w:val="16"/>
              </w:rPr>
              <w:t>Bổ sung child structure ở mức LCMS cần, không tracking execution.</w:t>
            </w:r>
          </w:p>
        </w:tc>
      </w:tr>
      <w:tr>
        <w:tc>
          <w:tcPr>
            <w:tcW w:type="dxa" w:w="1728"/>
            <w:vAlign w:val="center"/>
          </w:tcPr>
          <w:p>
            <w:r/>
            <w:r>
              <w:rPr>
                <w:rFonts w:ascii="Arial" w:hAnsi="Arial"/>
                <w:b w:val="0"/>
                <w:sz w:val="16"/>
              </w:rPr>
              <w:t>GAP-007</w:t>
            </w:r>
          </w:p>
        </w:tc>
        <w:tc>
          <w:tcPr>
            <w:tcW w:type="dxa" w:w="3168"/>
            <w:vAlign w:val="center"/>
          </w:tcPr>
          <w:p>
            <w:r/>
            <w:r>
              <w:rPr>
                <w:rFonts w:ascii="Arial" w:hAnsi="Arial"/>
                <w:b w:val="0"/>
                <w:sz w:val="16"/>
              </w:rPr>
              <w:t>Rating Context handoff</w:t>
            </w:r>
          </w:p>
        </w:tc>
        <w:tc>
          <w:tcPr>
            <w:tcW w:type="dxa" w:w="7200"/>
            <w:vAlign w:val="center"/>
          </w:tcPr>
          <w:p>
            <w:r/>
            <w:r>
              <w:rPr>
                <w:rFonts w:ascii="Arial" w:hAnsi="Arial"/>
                <w:b w:val="0"/>
                <w:sz w:val="16"/>
              </w:rPr>
              <w:t>Tạo deterministic assembler/DTO và immutable snapshot.</w:t>
            </w:r>
          </w:p>
        </w:tc>
      </w:tr>
      <w:tr>
        <w:tc>
          <w:tcPr>
            <w:tcW w:type="dxa" w:w="1728"/>
            <w:vAlign w:val="center"/>
          </w:tcPr>
          <w:p>
            <w:r/>
            <w:r>
              <w:rPr>
                <w:rFonts w:ascii="Arial" w:hAnsi="Arial"/>
                <w:b w:val="0"/>
                <w:sz w:val="16"/>
              </w:rPr>
              <w:t>GAP-008</w:t>
            </w:r>
          </w:p>
        </w:tc>
        <w:tc>
          <w:tcPr>
            <w:tcW w:type="dxa" w:w="3168"/>
            <w:vAlign w:val="center"/>
          </w:tcPr>
          <w:p>
            <w:r/>
            <w:r>
              <w:rPr>
                <w:rFonts w:ascii="Arial" w:hAnsi="Arial"/>
                <w:b w:val="0"/>
                <w:sz w:val="16"/>
              </w:rPr>
              <w:t>Cross-navigation</w:t>
            </w:r>
          </w:p>
        </w:tc>
        <w:tc>
          <w:tcPr>
            <w:tcW w:type="dxa" w:w="7200"/>
            <w:vAlign w:val="center"/>
          </w:tcPr>
          <w:p>
            <w:r/>
            <w:r>
              <w:rPr>
                <w:rFonts w:ascii="Arial" w:hAnsi="Arial"/>
                <w:b w:val="0"/>
                <w:sz w:val="16"/>
              </w:rPr>
              <w:t>Hoàn thiện List/Get/Search/Related/Deep-link cho D03.</w:t>
            </w:r>
          </w:p>
        </w:tc>
      </w:tr>
      <w:tr>
        <w:tc>
          <w:tcPr>
            <w:tcW w:type="dxa" w:w="1728"/>
            <w:vAlign w:val="center"/>
          </w:tcPr>
          <w:p>
            <w:r/>
            <w:r>
              <w:rPr>
                <w:rFonts w:ascii="Arial" w:hAnsi="Arial"/>
                <w:b w:val="0"/>
                <w:sz w:val="16"/>
              </w:rPr>
              <w:t>GAP-009</w:t>
            </w:r>
          </w:p>
        </w:tc>
        <w:tc>
          <w:tcPr>
            <w:tcW w:type="dxa" w:w="3168"/>
            <w:vAlign w:val="center"/>
          </w:tcPr>
          <w:p>
            <w:r/>
            <w:r>
              <w:rPr>
                <w:rFonts w:ascii="Arial" w:hAnsi="Arial"/>
                <w:b w:val="0"/>
                <w:sz w:val="16"/>
              </w:rPr>
              <w:t>Source ownership</w:t>
            </w:r>
          </w:p>
        </w:tc>
        <w:tc>
          <w:tcPr>
            <w:tcW w:type="dxa" w:w="7200"/>
            <w:vAlign w:val="center"/>
          </w:tcPr>
          <w:p>
            <w:r/>
            <w:r>
              <w:rPr>
                <w:rFonts w:ascii="Arial" w:hAnsi="Arial"/>
                <w:b w:val="0"/>
                <w:sz w:val="16"/>
              </w:rPr>
              <w:t>Enforce source_type/source_system/external_id và conflict policy.</w:t>
            </w:r>
          </w:p>
        </w:tc>
      </w:tr>
    </w:tbl>
    <w:p/>
    <w:p>
      <w:pPr>
        <w:pStyle w:val="Heading1"/>
      </w:pPr>
      <w:r>
        <w:t>15. Acceptance Criteria bắt buộc</w:t>
      </w:r>
    </w:p>
    <w:p>
      <w:pPr>
        <w:pStyle w:val="ListBullet"/>
      </w:pPr>
      <w:r>
        <w:t>AC-OR-01 — Tenant standalone tạo Customer/Order/Bill bằng Manual và dùng cùng validation với Import/API.</w:t>
      </w:r>
    </w:p>
    <w:p>
      <w:pPr>
        <w:pStyle w:val="ListBullet"/>
      </w:pPr>
      <w:r>
        <w:t>AC-OR-02 — Customer autocomplete theo mã/tên/SĐT/MST, auto-fill và duplicate warning.</w:t>
      </w:r>
    </w:p>
    <w:p>
      <w:pPr>
        <w:pStyle w:val="ListBullet"/>
      </w:pPr>
      <w:r>
        <w:t>AC-OR-03 — Bill hỗ trợ role Customer/Shipper/Consignee/Payer/Bill-to; required role configurable.</w:t>
      </w:r>
    </w:p>
    <w:p>
      <w:pPr>
        <w:pStyle w:val="ListBullet"/>
      </w:pPr>
      <w:r>
        <w:t>AC-OR-04 — Party snapshot không đổi khi master thay đổi.</w:t>
      </w:r>
    </w:p>
    <w:p>
      <w:pPr>
        <w:pStyle w:val="ListBullet"/>
      </w:pPr>
      <w:r>
        <w:t>AC-OR-05 — Order/Bill cung cấp đủ Rating Context khi Pricing Rule yêu cầu.</w:t>
      </w:r>
    </w:p>
    <w:p>
      <w:pPr>
        <w:pStyle w:val="ListBullet"/>
      </w:pPr>
      <w:r>
        <w:t>AC-OR-06 — Measurement có canonical UOM/source/rule; confirmed Chargeable Weight không silent overwrite.</w:t>
      </w:r>
    </w:p>
    <w:p>
      <w:pPr>
        <w:pStyle w:val="ListBullet"/>
      </w:pPr>
      <w:r>
        <w:t>AC-OR-07 — Toàn bộ relationship matrix hoạt động đúng cardinality và audit.</w:t>
      </w:r>
    </w:p>
    <w:p>
      <w:pPr>
        <w:pStyle w:val="ListBullet"/>
      </w:pPr>
      <w:r>
        <w:t>AC-OR-08 — Tắt Shipment/Leg/Movement vẫn Rating/Cost/Revenue từ Bill được.</w:t>
      </w:r>
    </w:p>
    <w:p>
      <w:pPr>
        <w:pStyle w:val="ListBullet"/>
      </w:pPr>
      <w:r>
        <w:t>AC-OR-09 — Location/Route dùng canonical/standard code cho import/rating.</w:t>
      </w:r>
    </w:p>
    <w:p>
      <w:pPr>
        <w:pStyle w:val="ListBullet"/>
      </w:pPr>
      <w:r>
        <w:t>AC-OR-10 — Cargo/Package/Container không kéo LCMS sang dispatch/GPS/driver/e-POD.</w:t>
      </w:r>
    </w:p>
    <w:p>
      <w:pPr>
        <w:pStyle w:val="ListBullet"/>
      </w:pPr>
      <w:r>
        <w:t>AC-OR-11 — Manual/Import/API ghi provenance và enforce SoT conflict.</w:t>
      </w:r>
    </w:p>
    <w:p>
      <w:pPr>
        <w:pStyle w:val="ListBullet"/>
      </w:pPr>
      <w:r>
        <w:t>AC-OR-12 — Rating snapshot immutable; sửa Operational Reference không rewrite rating cũ.</w:t>
      </w:r>
    </w:p>
    <w:p>
      <w:pPr>
        <w:pStyle w:val="ListBullet"/>
      </w:pPr>
      <w:r>
        <w:t>AC-OR-13 — Allocation đọc canonical Weight/CBM/Package context.</w:t>
      </w:r>
    </w:p>
    <w:p>
      <w:pPr>
        <w:pStyle w:val="ListBullet"/>
      </w:pPr>
      <w:r>
        <w:t>AC-OR-14 — D03 có LIST/SEARCH/DETAIL/RELATIONSHIP/CROSS-NAV theo capability.</w:t>
      </w:r>
    </w:p>
    <w:p>
      <w:pPr>
        <w:pStyle w:val="ListBullet"/>
      </w:pPr>
      <w:r>
        <w:t>AC-OR-15 — Import có preview, row/field errors và dedupe/idempotency.</w:t>
      </w:r>
    </w:p>
    <w:p>
      <w:pPr>
        <w:pStyle w:val="Heading1"/>
      </w:pPr>
      <w:r>
        <w:t>16. Definition of Done cho File 02</w:t>
      </w:r>
    </w:p>
    <w:p>
      <w:r>
        <w:t>DEV chỉ được coi phần Operational Reference/Data Context hoàn thành khi đồng thời đạt các điều kiện:</w:t>
      </w:r>
    </w:p>
    <w:p>
      <w:pPr>
        <w:pStyle w:val="ListBullet"/>
      </w:pPr>
      <w:r>
        <w:t>Schema/DTO/API/UI dùng cùng canonical field naming hoặc mapping được tài liệu hóa.</w:t>
      </w:r>
    </w:p>
    <w:p>
      <w:pPr>
        <w:pStyle w:val="ListBullet"/>
      </w:pPr>
      <w:r>
        <w:t>Không còn field rating-critical chỉ tồn tại trong mockup nhưng không có nơi persist/derive.</w:t>
      </w:r>
    </w:p>
    <w:p>
      <w:pPr>
        <w:pStyle w:val="ListBullet"/>
      </w:pPr>
      <w:r>
        <w:t>Không có relationship nào bị hạ từ N:N xuống 1:N vì thuận tiện implementation.</w:t>
      </w:r>
    </w:p>
    <w:p>
      <w:pPr>
        <w:pStyle w:val="ListBullet"/>
      </w:pPr>
      <w:r>
        <w:t>Bill vẫn hoạt động độc lập khi optional operational depth tắt.</w:t>
      </w:r>
    </w:p>
    <w:p>
      <w:pPr>
        <w:pStyle w:val="ListBullet"/>
      </w:pPr>
      <w:r>
        <w:t>Source/SoT/provenance được lưu và enforce.</w:t>
      </w:r>
    </w:p>
    <w:p>
      <w:pPr>
        <w:pStyle w:val="ListBullet"/>
      </w:pPr>
      <w:r>
        <w:t>Party và Rating Context snapshot bảo toàn lịch sử.</w:t>
      </w:r>
    </w:p>
    <w:p>
      <w:pPr>
        <w:pStyle w:val="ListBullet"/>
      </w:pPr>
      <w:r>
        <w:t>Measurement có source/rule/UOM trace.</w:t>
      </w:r>
    </w:p>
    <w:p>
      <w:pPr>
        <w:pStyle w:val="ListBullet"/>
      </w:pPr>
      <w:r>
        <w:t>Acceptance AC-OR-01 đến AC-OR-15 có test evidence.</w:t>
      </w:r>
    </w:p>
    <w:p>
      <w:pPr>
        <w:pStyle w:val="ListBullet"/>
      </w:pPr>
      <w:r>
        <w:t>Không phát sinh chức năng TMS ngoài scope.</w:t>
      </w:r>
    </w:p>
    <w:p>
      <w:pPr>
        <w:pStyle w:val="Heading1"/>
      </w:pPr>
      <w:r>
        <w:t>17. Traceability</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F4E78"/>
          </w:tcPr>
          <w:p>
            <w:r/>
            <w:r>
              <w:rPr>
                <w:rFonts w:ascii="Arial" w:hAnsi="Arial"/>
                <w:b/>
                <w:color w:val="FFFFFF"/>
                <w:sz w:val="16"/>
              </w:rPr>
              <w:t>Phần</w:t>
            </w:r>
          </w:p>
        </w:tc>
        <w:tc>
          <w:tcPr>
            <w:tcW w:type="dxa" w:w="9792"/>
            <w:vAlign w:val="center"/>
            <w:shd w:fill="1F4E78"/>
          </w:tcPr>
          <w:p>
            <w:r/>
            <w:r>
              <w:rPr>
                <w:rFonts w:ascii="Arial" w:hAnsi="Arial"/>
                <w:b/>
                <w:color w:val="FFFFFF"/>
                <w:sz w:val="16"/>
              </w:rPr>
              <w:t>Liên kết</w:t>
            </w:r>
          </w:p>
        </w:tc>
      </w:tr>
      <w:tr>
        <w:tc>
          <w:tcPr>
            <w:tcW w:type="dxa" w:w="2160"/>
            <w:vAlign w:val="center"/>
          </w:tcPr>
          <w:p>
            <w:r/>
            <w:r>
              <w:rPr>
                <w:rFonts w:ascii="Arial" w:hAnsi="Arial"/>
                <w:b w:val="0"/>
                <w:sz w:val="16"/>
              </w:rPr>
              <w:t>D02</w:t>
            </w:r>
          </w:p>
        </w:tc>
        <w:tc>
          <w:tcPr>
            <w:tcW w:type="dxa" w:w="9792"/>
            <w:vAlign w:val="center"/>
          </w:tcPr>
          <w:p>
            <w:r/>
            <w:r>
              <w:rPr>
                <w:rFonts w:ascii="Arial" w:hAnsi="Arial"/>
                <w:b w:val="0"/>
                <w:sz w:val="16"/>
              </w:rPr>
              <w:t>Master Data / Business Party / Location / Route / Mode / Service / Commodity</w:t>
            </w:r>
          </w:p>
        </w:tc>
      </w:tr>
      <w:tr>
        <w:tc>
          <w:tcPr>
            <w:tcW w:type="dxa" w:w="2160"/>
            <w:vAlign w:val="center"/>
          </w:tcPr>
          <w:p>
            <w:r/>
            <w:r>
              <w:rPr>
                <w:rFonts w:ascii="Arial" w:hAnsi="Arial"/>
                <w:b w:val="0"/>
                <w:sz w:val="16"/>
              </w:rPr>
              <w:t>D03</w:t>
            </w:r>
          </w:p>
        </w:tc>
        <w:tc>
          <w:tcPr>
            <w:tcW w:type="dxa" w:w="9792"/>
            <w:vAlign w:val="center"/>
          </w:tcPr>
          <w:p>
            <w:r/>
            <w:r>
              <w:rPr>
                <w:rFonts w:ascii="Arial" w:hAnsi="Arial"/>
                <w:b w:val="0"/>
                <w:sz w:val="16"/>
              </w:rPr>
              <w:t>Order / Bill / Shipment / Transport Leg / Transport Movement / Relationships</w:t>
            </w:r>
          </w:p>
        </w:tc>
      </w:tr>
      <w:tr>
        <w:tc>
          <w:tcPr>
            <w:tcW w:type="dxa" w:w="2160"/>
            <w:vAlign w:val="center"/>
          </w:tcPr>
          <w:p>
            <w:r/>
            <w:r>
              <w:rPr>
                <w:rFonts w:ascii="Arial" w:hAnsi="Arial"/>
                <w:b w:val="0"/>
                <w:sz w:val="16"/>
              </w:rPr>
              <w:t>D04</w:t>
            </w:r>
          </w:p>
        </w:tc>
        <w:tc>
          <w:tcPr>
            <w:tcW w:type="dxa" w:w="9792"/>
            <w:vAlign w:val="center"/>
          </w:tcPr>
          <w:p>
            <w:r/>
            <w:r>
              <w:rPr>
                <w:rFonts w:ascii="Arial" w:hAnsi="Arial"/>
                <w:b w:val="0"/>
                <w:sz w:val="16"/>
              </w:rPr>
              <w:t>Rating Context input + immutable snapshot</w:t>
            </w:r>
          </w:p>
        </w:tc>
      </w:tr>
      <w:tr>
        <w:tc>
          <w:tcPr>
            <w:tcW w:type="dxa" w:w="2160"/>
            <w:vAlign w:val="center"/>
          </w:tcPr>
          <w:p>
            <w:r/>
            <w:r>
              <w:rPr>
                <w:rFonts w:ascii="Arial" w:hAnsi="Arial"/>
                <w:b w:val="0"/>
                <w:sz w:val="16"/>
              </w:rPr>
              <w:t>D05</w:t>
            </w:r>
          </w:p>
        </w:tc>
        <w:tc>
          <w:tcPr>
            <w:tcW w:type="dxa" w:w="9792"/>
            <w:vAlign w:val="center"/>
          </w:tcPr>
          <w:p>
            <w:r/>
            <w:r>
              <w:rPr>
                <w:rFonts w:ascii="Arial" w:hAnsi="Arial"/>
                <w:b w:val="0"/>
                <w:sz w:val="16"/>
              </w:rPr>
              <w:t>Measurement/Package/Shipment/Leg/Movement làm allocation basis/source</w:t>
            </w:r>
          </w:p>
        </w:tc>
      </w:tr>
      <w:tr>
        <w:tc>
          <w:tcPr>
            <w:tcW w:type="dxa" w:w="2160"/>
            <w:vAlign w:val="center"/>
          </w:tcPr>
          <w:p>
            <w:r/>
            <w:r>
              <w:rPr>
                <w:rFonts w:ascii="Arial" w:hAnsi="Arial"/>
                <w:b w:val="0"/>
                <w:sz w:val="16"/>
              </w:rPr>
              <w:t>D12</w:t>
            </w:r>
          </w:p>
        </w:tc>
        <w:tc>
          <w:tcPr>
            <w:tcW w:type="dxa" w:w="9792"/>
            <w:vAlign w:val="center"/>
          </w:tcPr>
          <w:p>
            <w:r/>
            <w:r>
              <w:rPr>
                <w:rFonts w:ascii="Arial" w:hAnsi="Arial"/>
                <w:b w:val="0"/>
                <w:sz w:val="16"/>
              </w:rPr>
              <w:t>API/Import provenance, external identity, idempotency, integration audit</w:t>
            </w:r>
          </w:p>
        </w:tc>
      </w:tr>
      <w:tr>
        <w:tc>
          <w:tcPr>
            <w:tcW w:type="dxa" w:w="2160"/>
            <w:vAlign w:val="center"/>
          </w:tcPr>
          <w:p>
            <w:r/>
            <w:r>
              <w:rPr>
                <w:rFonts w:ascii="Arial" w:hAnsi="Arial"/>
                <w:b w:val="0"/>
                <w:sz w:val="16"/>
              </w:rPr>
              <w:t>UI</w:t>
            </w:r>
          </w:p>
        </w:tc>
        <w:tc>
          <w:tcPr>
            <w:tcW w:type="dxa" w:w="9792"/>
            <w:vAlign w:val="center"/>
          </w:tcPr>
          <w:p>
            <w:r/>
            <w:r>
              <w:rPr>
                <w:rFonts w:ascii="Arial" w:hAnsi="Arial"/>
                <w:b w:val="0"/>
                <w:sz w:val="16"/>
              </w:rPr>
              <w:t>Đơn hàng vận chuyển → Đơn hàng | Bill | Shipment | Chặng &amp; Chuyến</w:t>
            </w:r>
          </w:p>
        </w:tc>
      </w:tr>
      <w:tr>
        <w:tc>
          <w:tcPr>
            <w:tcW w:type="dxa" w:w="2160"/>
            <w:vAlign w:val="center"/>
          </w:tcPr>
          <w:p>
            <w:r/>
            <w:r>
              <w:rPr>
                <w:rFonts w:ascii="Arial" w:hAnsi="Arial"/>
                <w:b w:val="0"/>
                <w:sz w:val="16"/>
              </w:rPr>
              <w:t>02B Excel</w:t>
            </w:r>
          </w:p>
        </w:tc>
        <w:tc>
          <w:tcPr>
            <w:tcW w:type="dxa" w:w="9792"/>
            <w:vAlign w:val="center"/>
          </w:tcPr>
          <w:p>
            <w:r/>
            <w:r>
              <w:rPr>
                <w:rFonts w:ascii="Arial" w:hAnsi="Arial"/>
                <w:b w:val="0"/>
                <w:sz w:val="16"/>
              </w:rPr>
              <w:t>Field Dictionary, Relationship Matrix, Rating Context, Source Ownership, Validation, Gap/Fix, Acceptance</w:t>
            </w:r>
          </w:p>
        </w:tc>
      </w:tr>
    </w:tbl>
    <w:p/>
    <w:p/>
    <w:p>
      <w:r>
        <w:rPr>
          <w:b/>
          <w:color w:val="1F4E79"/>
        </w:rPr>
        <w:t xml:space="preserve">KẾT LUẬN — </w:t>
      </w:r>
      <w:r>
        <w:t>File 02A và 02B phải được DEV sử dụng như một cặp: 02A giải thích hành vi nghiệp vụ/kiến trúc dữ liệu; 02B là matrix field-level để implementation và test. Không dùng riêng một file để suy luận phần còn lại.</w:t>
      </w:r>
    </w:p>
    <w:p>
      <w:r>
        <w:br w:type="page"/>
      </w:r>
    </w:p>
    <w:p>
      <w:pPr>
        <w:pStyle w:val="Heading1"/>
      </w:pPr>
      <w:r>
        <w:t>PHỤ LỤC FINAL CLOSURE — GAP-001 → GAP-009</w:t>
      </w:r>
    </w:p>
    <w:p>
      <w:r>
        <w:t>Phụ lục này chuyển toàn bộ GAP của D03 thành yêu cầu triển khai P0 bắt buộc. Sau phụ lục này, GAP-001 → GAP-009 không còn là ghi chú tham khảo mà là DEV Acceptance Requirements.</w:t>
      </w:r>
    </w:p>
    <w:p>
      <w:pPr>
        <w:pStyle w:val="Heading2"/>
      </w:pPr>
      <w:r>
        <w:t>GAP-001 — Party Contact &amp; Transaction Snapshot</w:t>
      </w:r>
    </w:p>
    <w:p>
      <w:pPr>
        <w:pStyle w:val="ListBullet"/>
      </w:pPr>
      <w:r>
        <w:t>Party/Customer/Vendor phải hỗ trợ contact/address có type, effective status và role. Khi giao dịch cần tính đúng lịch sử, LCMS lưu transaction snapshot của tên/địa chỉ/contact/role thay vì phụ thuộc hoàn toàn vào master hiện tại.</w:t>
      </w:r>
    </w:p>
    <w:p>
      <w:pPr>
        <w:pStyle w:val="ListBullet"/>
      </w:pPr>
      <w:r>
        <w:t>Snapshot phải truy vết được party_id nguồn, thời điểm snapshot và source/provenance. Thay đổi master sau đó không được làm thay đổi chứng từ/snapshot lịch sử.</w:t>
      </w:r>
    </w:p>
    <w:p>
      <w:pPr>
        <w:pStyle w:val="Heading2"/>
      </w:pPr>
      <w:r>
        <w:t>GAP-002 — Location &amp; Route Canonical Model</w:t>
      </w:r>
    </w:p>
    <w:p>
      <w:pPr>
        <w:pStyle w:val="ListBullet"/>
      </w:pPr>
      <w:r>
        <w:t>Location phải có canonical ID/code/type/country/subdivision/city/port-airport-terminal code khi áp dụng; Route tham chiếu canonical origin/destination và có thể có intermediate points.</w:t>
      </w:r>
    </w:p>
    <w:p>
      <w:pPr>
        <w:pStyle w:val="ListBullet"/>
      </w:pPr>
      <w:r>
        <w:t>Rating, Import, API và Reporting không được phụ thuộc vào free-text location nếu canonical reference đã tồn tại. Alias/mapping từ nguồn ngoài phải resolve về canonical object.</w:t>
      </w:r>
    </w:p>
    <w:p>
      <w:pPr>
        <w:pStyle w:val="Heading2"/>
      </w:pPr>
      <w:r>
        <w:t>GAP-003 — Commodity/Cargo Taxonomy &amp; Flags</w:t>
      </w:r>
    </w:p>
    <w:p>
      <w:pPr>
        <w:pStyle w:val="ListBullet"/>
      </w:pPr>
      <w:r>
        <w:t>Commodity/Cargo phải hỗ trợ taxonomy/category và flags nghiệp vụ cần cho rating/applicability như DG, temperature-controlled, oversize/overweight, special handling khi tenant sử dụng.</w:t>
      </w:r>
    </w:p>
    <w:p>
      <w:pPr>
        <w:pStyle w:val="ListBullet"/>
      </w:pPr>
      <w:r>
        <w:t>Flag dùng trong Rating Context phải có source và snapshot để tái hiện rating.</w:t>
      </w:r>
    </w:p>
    <w:p>
      <w:pPr>
        <w:pStyle w:val="Heading2"/>
      </w:pPr>
      <w:r>
        <w:t>GAP-004 — Operational Object Field Depth</w:t>
      </w:r>
    </w:p>
    <w:p>
      <w:pPr>
        <w:pStyle w:val="ListBullet"/>
      </w:pPr>
      <w:r>
        <w:t>Order/Bill/Shipment/Leg/Movement phải có đủ field context đã định nghĩa trong Field Dictionary File 02B; không được triển khai chỉ ID/name/status nếu field đó được Rating, Allocation, Search, Drill-down hoặc Reporting sử dụng.</w:t>
      </w:r>
    </w:p>
    <w:p>
      <w:pPr>
        <w:pStyle w:val="ListBullet"/>
      </w:pPr>
      <w:r>
        <w:t>Field bắt buộc được xác định theo object type/mode/capability; validation phải nhất quán Manual/Import/API.</w:t>
      </w:r>
    </w:p>
    <w:p>
      <w:pPr>
        <w:pStyle w:val="Heading2"/>
      </w:pPr>
      <w:r>
        <w:t>GAP-005 — Canonical Measurement Model</w:t>
      </w:r>
    </w:p>
    <w:p>
      <w:pPr>
        <w:pStyle w:val="ListBullet"/>
      </w:pPr>
      <w:r>
        <w:t>Measurement phải biểu diễn value + UOM + measurement_type + source + captured_at; các giá trị derived phải lưu công thức/policy/version hoặc trace đủ để tái hiện.</w:t>
      </w:r>
    </w:p>
    <w:p>
      <w:pPr>
        <w:pStyle w:val="ListBullet"/>
      </w:pPr>
      <w:r>
        <w:t>Actual weight, volumetric weight, chargeable weight, volume, package count, quantity, TEU không được nhập/lưu như các con số không rõ nguồn.</w:t>
      </w:r>
    </w:p>
    <w:p>
      <w:pPr>
        <w:pStyle w:val="Heading2"/>
      </w:pPr>
      <w:r>
        <w:t>GAP-006 — Package/Container Child Structure</w:t>
      </w:r>
    </w:p>
    <w:p>
      <w:pPr>
        <w:pStyle w:val="ListBullet"/>
      </w:pPr>
      <w:r>
        <w:t>Bill/Shipment có thể có Package/Container child records phục vụ measurement, rating và allocation. LCMS chỉ lưu context tài chính cần thiết, không mở rộng thành execution/container tracking của TMS.</w:t>
      </w:r>
    </w:p>
    <w:p>
      <w:pPr>
        <w:pStyle w:val="ListBullet"/>
      </w:pPr>
      <w:r>
        <w:t>Child record phải có stable ID, type, quantity/size, measurements và relationship tới parent phù hợp.</w:t>
      </w:r>
    </w:p>
    <w:p>
      <w:pPr>
        <w:pStyle w:val="Heading2"/>
      </w:pPr>
      <w:r>
        <w:t>GAP-007 — Deterministic Rating Context Assembler</w:t>
      </w:r>
    </w:p>
    <w:p>
      <w:pPr>
        <w:pStyle w:val="ListBullet"/>
      </w:pPr>
      <w:r>
        <w:t>Rating Engine phải nhận một Rating Context DTO/snapshot chuẩn, được assembler tạo từ Operational Reference + master/config + override hợp lệ.</w:t>
      </w:r>
    </w:p>
    <w:p>
      <w:pPr>
        <w:pStyle w:val="ListBullet"/>
      </w:pPr>
      <w:r>
        <w:t>Context tối thiểu phải truy vết object scope, mode/service/route, party role khi cần, commodity flags, measurements, container/package, chargeable basis, currency/date context và override reason.</w:t>
      </w:r>
    </w:p>
    <w:p>
      <w:pPr>
        <w:pStyle w:val="ListBullet"/>
      </w:pPr>
      <w:r>
        <w:t>Rating result phải tham chiếu immutable context snapshot/version để rerating và audit không phụ thuộc dữ liệu hiện tại.</w:t>
      </w:r>
    </w:p>
    <w:p>
      <w:pPr>
        <w:pStyle w:val="Heading2"/>
      </w:pPr>
      <w:r>
        <w:t>GAP-008 — Cross Navigation Contract</w:t>
      </w:r>
    </w:p>
    <w:p>
      <w:pPr>
        <w:pStyle w:val="ListBullet"/>
      </w:pPr>
      <w:r>
        <w:t>D03 phải có LIST/SEARCH/DETAIL/RELATED/CROSS-NAV cho Order, Bill, Shipment, Leg, Movement. Bill Financial View phải truy cập được Shipment/Leg/Movement liên quan, không chỉ Order/Shipment.</w:t>
      </w:r>
    </w:p>
    <w:p>
      <w:pPr>
        <w:pStyle w:val="ListBullet"/>
      </w:pPr>
      <w:r>
        <w:t>API phải có query/related endpoints hoặc equivalent canonical contract; UI deep-link giữ tenant/data-scope và không tạo quan hệ ngầm.</w:t>
      </w:r>
    </w:p>
    <w:p>
      <w:pPr>
        <w:pStyle w:val="Heading2"/>
      </w:pPr>
      <w:r>
        <w:t>GAP-009 — Source Ownership Enforcement</w:t>
      </w:r>
    </w:p>
    <w:p>
      <w:pPr>
        <w:pStyle w:val="ListBullet"/>
      </w:pPr>
      <w:r>
        <w:t>Mọi Operational Reference material record phải có source_channel, source_system khi áp dụng, external_id/version khi có và ownership policy.</w:t>
      </w:r>
    </w:p>
    <w:p>
      <w:pPr>
        <w:pStyle w:val="ListBullet"/>
      </w:pPr>
      <w:r>
        <w:t>External-authoritative field không bị manual/API khác silent overwrite; LCMS-authoritative field không bị source ngoài ghi đè. Conflict phải trả lỗi/exception có evidence và resolution.</w:t>
      </w:r>
    </w:p>
    <w:p>
      <w:pPr>
        <w:pStyle w:val="Heading2"/>
      </w:pPr>
      <w:r>
        <w:t>Acceptance bổ sung OR-FINAL-01 → 09</w:t>
      </w:r>
    </w:p>
    <w:p>
      <w:pPr>
        <w:pStyle w:val="ListBullet"/>
      </w:pPr>
      <w:r>
        <w:t>OR-FINAL-01 snapshot lịch sử không đổi khi Party master đổi; OR-FINAL-02 route canonical dùng được cho rating/search; OR-FINAL-03 commodity flag đi vào Rating Context; OR-FINAL-04 field depth đủ cho rating/report; OR-FINAL-05 measurement có UOM/source/trace; OR-FINAL-06 package/container child không biến LCMS thành TMS; OR-FINAL-07 rerating tái hiện từ context snapshot; OR-FINAL-08 cross-nav đủ 5 operational objects; OR-FINAL-09 SoT conflict không silent overwrite.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7"/>
        <w:sz w:val="16"/>
      </w:rPr>
      <w:t>MASTER 02A/09 — DEV Implementation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7"/>
        <w:sz w:val="16"/>
      </w:rPr>
      <w:t>LCMS — Operational Reference Data &amp; Field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