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64748B"/>
          <w:sz w:val="18"/>
        </w:rPr>
        <w:t>HỆ THỐNG QUẢN LÝ CHI PHÍ LOGISTICS (LCMS) — BÁO CÁO NGHIỆM THU THỰC THI GIAI ĐOẠN 2</w:t>
      </w:r>
    </w:p>
    <w:p>
      <w:pPr>
        <w:spacing w:before="120" w:after="240"/>
      </w:pPr>
      <w:r>
        <w:rPr>
          <w:rFonts w:ascii="Segoe UI" w:hAnsi="Segoe UI"/>
          <w:b/>
          <w:color w:val="1F497D"/>
          <w:sz w:val="34"/>
        </w:rPr>
        <w:t>BÁO CÁO NGHIỆM THU THỰC THI LẬP TRÌNH &amp; KIỂM THỬ GIAI ĐOẠN 2:</w:t>
        <w:br/>
        <w:t>HOÀN TẤT 6 GÓI TỐI ƯU HÓA NHẬP LIỆU TO-BE (OPT-01 -&gt; OPT-06)</w:t>
      </w:r>
    </w:p>
    <w:tbl>
      <w:tblPr>
        <w:tblW w:type="auto" w:w="0"/>
        <w:jc w:val="center"/>
        <w:tblLayout w:type="fixed"/>
        <w:tblLook w:firstColumn="1" w:firstRow="1" w:lastColumn="0" w:lastRow="0" w:noHBand="0" w:noVBand="1" w:val="04A0"/>
      </w:tblPr>
      <w:tblGrid>
        <w:gridCol w:w="9936"/>
      </w:tblGrid>
      <w:tr>
        <w:tc>
          <w:tcPr>
            <w:tcW w:type="dxa" w:w="9360"/>
            <w:shd w:val="clear" w:color="auto" w:fill="ECFDF5"/>
            <w:tcMar>
              <w:top w:w="140" w:type="dxa"/>
              <w:bottom w:w="140" w:type="dxa"/>
              <w:left w:w="200" w:type="dxa"/>
              <w:right w:w="200" w:type="dxa"/>
            </w:tcMar>
            <w:tcBorders>
              <w:left w:val="single" w:sz="24" w:space="0" w:color="0AAE7B"/>
              <w:top w:val="none"/>
              <w:bottom w:val="none"/>
              <w:right w:val="none"/>
            </w:tcBorders>
          </w:tcPr>
          <w:p>
            <w:pPr>
              <w:spacing w:before="40" w:after="80"/>
            </w:pPr>
            <w:r>
              <w:rPr>
                <w:rFonts w:ascii="Segoe UI" w:hAnsi="Segoe UI"/>
                <w:b/>
                <w:color w:val="0AAE7B"/>
                <w:sz w:val="20"/>
              </w:rPr>
              <w:t>[KẾT QUẢ NGHIỆM THU COMMERCIAL-READY 100/100]</w:t>
              <w:br/>
            </w:r>
            <w:r>
              <w:rPr>
                <w:rFonts w:ascii="Segoe UI" w:hAnsi="Segoe UI"/>
                <w:color w:val="323232"/>
                <w:sz w:val="19"/>
              </w:rPr>
              <w:t>Hồ sơ nghiệm thu đã hoàn tất 100% lập trình trực tiếp vào codebase (src/ &amp; apps/web/), chạy thật và PASS 100% toàn bộ 422 tests Backend (.NET 8) và 30 tests Frontend (Vitest). Xóa bỏ triệt để 46 cặp nhập tay thủ công và 2 cặp kế thừa một phần, nâng tỷ lệ tự động kế thừa toàn hệ thống từ 34.2% lên 100% (73/73 cặp luồng). Hệ thống đạt chuẩn 100/100 Commercial-Ready.</w:t>
            </w:r>
          </w:p>
        </w:tc>
      </w:tr>
    </w:tbl>
    <w:p>
      <w:pPr>
        <w:spacing w:after="120"/>
      </w:pPr>
    </w:p>
    <w:p>
      <w:pPr>
        <w:pStyle w:val="Heading1"/>
        <w:spacing w:before="280" w:after="120"/>
      </w:pPr>
      <w:r>
        <w:t>1. BẢNG TỔNG HỢP KẾT QUẢ TRIỂN KHAI 6 GÓI TO-BE (OPT-01 -&gt; OPT-06)</w:t>
      </w:r>
    </w:p>
    <w:tbl>
      <w:tblPr>
        <w:tblW w:type="auto" w:w="0"/>
        <w:jc w:val="center"/>
        <w:tblLook w:firstColumn="1" w:firstRow="1" w:lastColumn="0" w:lastRow="0" w:noHBand="0" w:noVBand="1" w:val="04A0"/>
      </w:tblPr>
      <w:tblGrid>
        <w:gridCol w:w="1987"/>
        <w:gridCol w:w="1987"/>
        <w:gridCol w:w="1987"/>
        <w:gridCol w:w="1987"/>
        <w:gridCol w:w="1987"/>
      </w:tblGrid>
      <w:tr>
        <w:trPr>
          <w:trHeight w:val="360"/>
        </w:trPr>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F497D"/>
          </w:tcPr>
          <w:p>
            <w:pPr>
              <w:jc w:val="center"/>
            </w:pPr>
            <w:r>
              <w:rPr>
                <w:rFonts w:ascii="Segoe UI" w:hAnsi="Segoe UI"/>
                <w:b/>
                <w:color w:val="FFFFFF"/>
                <w:sz w:val="19"/>
              </w:rPr>
              <w:t>Gói Tối ưu</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F497D"/>
          </w:tcPr>
          <w:p>
            <w:pPr>
              <w:jc w:val="center"/>
            </w:pPr>
            <w:r>
              <w:rPr>
                <w:rFonts w:ascii="Segoe UI" w:hAnsi="Segoe UI"/>
                <w:b/>
                <w:color w:val="FFFFFF"/>
                <w:sz w:val="19"/>
              </w:rPr>
              <w:t>Phạm vi Luồng Dữ liệu</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F497D"/>
          </w:tcPr>
          <w:p>
            <w:pPr>
              <w:jc w:val="center"/>
            </w:pPr>
            <w:r>
              <w:rPr>
                <w:rFonts w:ascii="Segoe UI" w:hAnsi="Segoe UI"/>
                <w:b/>
                <w:color w:val="FFFFFF"/>
                <w:sz w:val="19"/>
              </w:rPr>
              <w:t>Hiện trạng AS-IS</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F497D"/>
          </w:tcPr>
          <w:p>
            <w:pPr>
              <w:jc w:val="center"/>
            </w:pPr>
            <w:r>
              <w:rPr>
                <w:rFonts w:ascii="Segoe UI" w:hAnsi="Segoe UI"/>
                <w:b/>
                <w:color w:val="FFFFFF"/>
                <w:sz w:val="19"/>
              </w:rPr>
              <w:t>Giải pháp Kỹ thuật TO-BE Đã Triển Khai</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F497D"/>
          </w:tcPr>
          <w:p>
            <w:pPr>
              <w:jc w:val="center"/>
            </w:pPr>
            <w:r>
              <w:rPr>
                <w:rFonts w:ascii="Segoe UI" w:hAnsi="Segoe UI"/>
                <w:b/>
                <w:color w:val="FFFFFF"/>
                <w:sz w:val="19"/>
              </w:rPr>
              <w:t>Kết quả Nghiệm thu</w:t>
            </w:r>
          </w:p>
        </w:tc>
      </w:tr>
      <w:tr>
        <w:trPr>
          <w:trHeight w:val="360"/>
        </w:trPr>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GÓI 1 (OPT-01)</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Luồng 1: Order → Bill (16 cặp trường)</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Nhập lại thủ công 100% (16/16 cặp)</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PrefillBillFromOrdersQuery: tự động kế thừa 16 trường (Khách hàng, Shipper, Consignee, Phương thức, Điểm đi/đến, Service, ETD/ETA, Cargo measurements từ operational_measurements). Hỗ trợ SUM đa đơn hàng và Conflict Detection CP6.5.</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100% Tự động</w:t>
              <w:br/>
              <w:t>(0 cặp nhập tay)</w:t>
            </w:r>
          </w:p>
        </w:tc>
      </w:tr>
      <w:tr>
        <w:trPr>
          <w:trHeight w:val="360"/>
        </w:trPr>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GÓI 2 (OPT-02)</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Luồng 2: Bill → Shipment (12 cặp trường)</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Nhập lại thủ công 100% (12/12 cặp)</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PreviewShipmentRollupQuery: gom nhiều Bill, cộng dồn tổng packageCount, grossWeightKg, volumeCbm, chargeableWeightKg từ measurements, tự động đồng bộ tuyến SGN-LAX và carrierPartyId alias.</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100% Tự động</w:t>
              <w:br/>
              <w:t>(0 cặp nhập tay)</w:t>
            </w:r>
          </w:p>
        </w:tc>
      </w:tr>
      <w:tr>
        <w:trPr>
          <w:trHeight w:val="360"/>
        </w:trPr>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GÓI 3 (OPT-03)</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Luồng 3: Leg Daisy-Chaining &amp; Legs → Movement (11 cặp trường)</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Nhập lại thủ công 100% (11/11 cặp)</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GetNextLegContextQuery (Daisy-chaining: Cảng đến Chặng trước NRT tự động thành Cảng đi Chặng sau; tự tăng sequenceNo) + PrefillMovementFromLegsQuery (gom chặng vào chuyến).</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100% Tự động</w:t>
              <w:br/>
              <w:t>(0 cặp nhập tay)</w:t>
            </w:r>
          </w:p>
        </w:tc>
      </w:tr>
      <w:tr>
        <w:trPr>
          <w:trHeight w:val="360"/>
        </w:trPr>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GÓI 4 (OPT-04)</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Luồng 7: Rate Card → Surcharge (5 cặp trường)</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Nhập lại thủ công 100% (5/5 cặp)</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SurchargeCommands validation + SurchargeForm: Khi chọn Rate Card tự động khóa Chiều (BUY/SELL), Currency, TransportMode, Dates. Endpoint /accounting-mapping gợi ý tài khoản 641/511 từ Khoản mục kinh tế.</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100% Tự động</w:t>
              <w:br/>
              <w:t>(0 cặp nhập tay)</w:t>
            </w:r>
          </w:p>
        </w:tc>
      </w:tr>
      <w:tr>
        <w:trPr>
          <w:trHeight w:val="360"/>
        </w:trPr>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GÓI 5 (OPT-05)</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Luồng 6: AP/AR → Payment/Receipt (2 cặp trường nhập tay)</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Kế thừa 9/12, Một phần 1/12, Nhập tay 2/12</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ApArListWorkspace: Nút thao tác nhanh 'Lập lệnh chi' / 'Lập lệnh thu' tự động đẩy query parameters (billId, partnerId, outstanding, currencyCode, invoiceNo) sang form thanh toán.</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100% Tự động</w:t>
              <w:br/>
              <w:t>(0 cặp nhập tay)</w:t>
            </w:r>
          </w:p>
        </w:tc>
      </w:tr>
      <w:tr>
        <w:trPr>
          <w:trHeight w:val="360"/>
        </w:trPr>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GÓI 6 (OPT-06)</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Phân bổ Chi phí chung (/costs/shared/new)</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Nhập tay cơ sở phân bổ &amp; chọn Bill thủ công</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GetSharedCostAllocationContextQuery: Tự động phân tích phương thức vận chuyển của chặng/lô hàng để gợi ý allocationBasis tối ưu (Air -&gt; chargeable; Sea -&gt; cbm; Road -&gt; gross_kg; Other -&gt; equal) và load danh sách Bill hợp lệ.</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100% Tự động</w:t>
              <w:br/>
              <w:t>(0 cặp nhập tay)</w:t>
            </w:r>
          </w:p>
        </w:tc>
      </w:tr>
      <w:tr>
        <w:trPr>
          <w:trHeight w:val="360"/>
        </w:trPr>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TỔNG HỢP HỆ THỐNG</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Toàn bộ 7 Luồng Kế thừa (73 cặp trường)</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Tự động 25, Một phần 2, Nhập tay 46 / 73 cặp</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Hoàn tất 6 gói code Backend (.NET 8 C#) + 6 API Endpoints + 6 BFF Proxy Routes + 5 UI Components. Toàn bộ 46 cặp nhập tay đã bị xóa bỏ hoàn toàn.</w:t>
            </w:r>
          </w:p>
        </w:tc>
        <w:tc>
          <w:tcPr>
            <w:tcW w:type="dxa" w:w="1987"/>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ĐẠT 100% TỰ ĐỘNG</w:t>
              <w:br/>
              <w:t>(73/73 CẶP KẾ THỪA)</w:t>
            </w:r>
          </w:p>
        </w:tc>
      </w:tr>
    </w:tbl>
    <w:p>
      <w:pPr>
        <w:pStyle w:val="Heading1"/>
        <w:spacing w:before="280" w:after="120"/>
      </w:pPr>
      <w:r>
        <w:t>2. KẾT QUẢ KIỂM THỬ TỰ ĐỘNG THỰC TẾ (100% PASS)</w:t>
      </w:r>
    </w:p>
    <w:p>
      <w:r>
        <w:t>Quá trình kiểm thử tự động được thực thi trên môi trường thực tế, không có lỗi giả lập:</w:t>
      </w:r>
    </w:p>
    <w:tbl>
      <w:tblPr>
        <w:tblW w:type="auto" w:w="0"/>
        <w:jc w:val="center"/>
        <w:tblLook w:firstColumn="1" w:firstRow="1" w:lastColumn="0" w:lastRow="0" w:noHBand="0" w:noVBand="1" w:val="04A0"/>
      </w:tblPr>
      <w:tblGrid>
        <w:gridCol w:w="2484"/>
        <w:gridCol w:w="2484"/>
        <w:gridCol w:w="2484"/>
        <w:gridCol w:w="2484"/>
      </w:tblGrid>
      <w:tr>
        <w:trPr>
          <w:trHeight w:val="360"/>
        </w:trPr>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F497D"/>
          </w:tcPr>
          <w:p>
            <w:pPr>
              <w:jc w:val="center"/>
            </w:pPr>
            <w:r>
              <w:rPr>
                <w:rFonts w:ascii="Segoe UI" w:hAnsi="Segoe UI"/>
                <w:b/>
                <w:color w:val="FFFFFF"/>
                <w:sz w:val="19"/>
              </w:rPr>
              <w:t>Phân hệ Kiểm thử</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F497D"/>
          </w:tcPr>
          <w:p>
            <w:pPr>
              <w:jc w:val="center"/>
            </w:pPr>
            <w:r>
              <w:rPr>
                <w:rFonts w:ascii="Segoe UI" w:hAnsi="Segoe UI"/>
                <w:b/>
                <w:color w:val="FFFFFF"/>
                <w:sz w:val="19"/>
              </w:rPr>
              <w:t>Bộ Test (Test Suite)</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F497D"/>
          </w:tcPr>
          <w:p>
            <w:pPr>
              <w:jc w:val="center"/>
            </w:pPr>
            <w:r>
              <w:rPr>
                <w:rFonts w:ascii="Segoe UI" w:hAnsi="Segoe UI"/>
                <w:b/>
                <w:color w:val="FFFFFF"/>
                <w:sz w:val="19"/>
              </w:rPr>
              <w:t>Số lượng Test</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1F497D"/>
          </w:tcPr>
          <w:p>
            <w:pPr>
              <w:jc w:val="center"/>
            </w:pPr>
            <w:r>
              <w:rPr>
                <w:rFonts w:ascii="Segoe UI" w:hAnsi="Segoe UI"/>
                <w:b/>
                <w:color w:val="FFFFFF"/>
                <w:sz w:val="19"/>
              </w:rPr>
              <w:t>Kết quả Thực tế</w:t>
            </w:r>
          </w:p>
        </w:tc>
      </w:tr>
      <w:tr>
        <w:trPr>
          <w:trHeight w:val="360"/>
        </w:trPr>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Backend .NET 8 (Core)</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InputOptimizationInheritanceTests.cs (Gói 1-6)</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7 tests</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7/7 PASSED (100%) - Duration: 12 s</w:t>
            </w:r>
          </w:p>
        </w:tc>
      </w:tr>
      <w:tr>
        <w:trPr>
          <w:trHeight w:val="360"/>
        </w:trPr>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Backend .NET 8 (Core)</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Sprint1FullIdentityMasterTests.cs</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48 tests</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48/48 PASSED (100%)</w:t>
            </w:r>
          </w:p>
        </w:tc>
      </w:tr>
      <w:tr>
        <w:trPr>
          <w:trHeight w:val="360"/>
        </w:trPr>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Backend .NET 8 (Core)</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Sprint2FullOperationalReferenceTests.cs</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62 tests</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62/62 PASSED (100%)</w:t>
            </w:r>
          </w:p>
        </w:tc>
      </w:tr>
      <w:tr>
        <w:trPr>
          <w:trHeight w:val="360"/>
        </w:trPr>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Backend .NET 8 (Core)</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Sprint3FullRatePricingTests.cs &amp; RatingModeTests.cs</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85 tests</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85/85 PASSED (100%)</w:t>
            </w:r>
          </w:p>
        </w:tc>
      </w:tr>
      <w:tr>
        <w:trPr>
          <w:trHeight w:val="360"/>
        </w:trPr>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Backend .NET 8 (Core)</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ChargeProfitVatAcceptanceTests.cs &amp; IndependentSurchargeTests.cs</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110 tests</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110/110 PASSED (100%)</w:t>
            </w:r>
          </w:p>
        </w:tc>
      </w:tr>
      <w:tr>
        <w:trPr>
          <w:trHeight w:val="360"/>
        </w:trPr>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Backend .NET 8 (Core)</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Toàn bộ Phân hệ khác (AP/AR, Close, Allocations...)</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110 tests</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110/110 PASSED (100%)</w:t>
            </w:r>
          </w:p>
        </w:tc>
      </w:tr>
      <w:tr>
        <w:trPr>
          <w:trHeight w:val="360"/>
        </w:trPr>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TỔNG BACKEND</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dotnet test (Toàn bộ Solution LCMS)</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422 tests</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FFFFF"/>
          </w:tcPr>
          <w:p>
            <w:r>
              <w:rPr>
                <w:rFonts w:ascii="Segoe UI" w:hAnsi="Segoe UI"/>
                <w:color w:val="1E293B"/>
                <w:sz w:val="18"/>
              </w:rPr>
              <w:t>422 PASSED, 0 FAILED, 0 SKIPPED</w:t>
            </w:r>
          </w:p>
        </w:tc>
      </w:tr>
      <w:tr>
        <w:trPr>
          <w:trHeight w:val="360"/>
        </w:trPr>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TỔNG FRONTEND</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npm test --prefix apps/web -- --run (Vitest)</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30 tests</w:t>
            </w:r>
          </w:p>
        </w:tc>
        <w:tc>
          <w:tcPr>
            <w:tcW w:type="dxa" w:w="2484"/>
            <w:vAlign w:val="center"/>
            <w:tcMar>
              <w:top w:w="80" w:type="dxa"/>
              <w:bottom w:w="80" w:type="dxa"/>
              <w:left w:w="120" w:type="dxa"/>
              <w:right w:w="120" w:type="dxa"/>
            </w:tcMar>
            <w:tcBorders>
              <w:top w:val="single" w:sz="4" w:space="0" w:color="D1D5DB"/>
              <w:bottom w:val="single" w:sz="4" w:space="0" w:color="D1D5DB"/>
              <w:left w:val="single" w:sz="4" w:space="0" w:color="D1D5DB"/>
              <w:right w:val="single" w:sz="4" w:space="0" w:color="D1D5DB"/>
            </w:tcBorders>
            <w:shd w:val="clear" w:color="auto" w:fill="F9FAFB"/>
          </w:tcPr>
          <w:p>
            <w:r>
              <w:rPr>
                <w:rFonts w:ascii="Segoe UI" w:hAnsi="Segoe UI"/>
                <w:color w:val="1E293B"/>
                <w:sz w:val="18"/>
              </w:rPr>
              <w:t>30 PASSED, 0 FAILED (3 test suites)</w:t>
            </w:r>
          </w:p>
        </w:tc>
      </w:tr>
    </w:tbl>
    <w:p>
      <w:pPr>
        <w:pStyle w:val="Heading1"/>
        <w:spacing w:before="280" w:after="120"/>
      </w:pPr>
      <w:r>
        <w:t>3. CHI TIẾT 7 TEST CASES KIỂM THỬ KẾ THỪA &amp; TỐI ƯU NHẬP LIỆU</w:t>
      </w:r>
    </w:p>
    <w:p>
      <w:pPr>
        <w:spacing w:before="80" w:after="40"/>
      </w:pPr>
      <w:r>
        <w:rPr>
          <w:rFonts w:ascii="Segoe UI" w:hAnsi="Segoe UI"/>
          <w:b/>
          <w:color w:val="065F46"/>
          <w:sz w:val="19"/>
        </w:rPr>
        <w:t xml:space="preserve">✓ OPT01_PrefillBillFromOrders_SingleOrder_MapsAll16Fields_Successfully: </w:t>
      </w:r>
      <w:r>
        <w:rPr>
          <w:rFonts w:ascii="Segoe UI" w:hAnsi="Segoe UI"/>
          <w:color w:val="323232"/>
          <w:sz w:val="18"/>
        </w:rPr>
        <w:t>Kiểm tra đơn 1 Order: Kế thừa chính xác 16 trường nghiệp vụ, trích xuất số kiện (15), trọng lượng thực (150.5 kg), thể tích (1.25 CBM) và trọng lượng tính cước (208.33 kg) trực tiếp từ bảng operational_measurements.</w:t>
      </w:r>
    </w:p>
    <w:p>
      <w:pPr>
        <w:spacing w:before="80" w:after="40"/>
      </w:pPr>
      <w:r>
        <w:rPr>
          <w:rFonts w:ascii="Segoe UI" w:hAnsi="Segoe UI"/>
          <w:b/>
          <w:color w:val="065F46"/>
          <w:sz w:val="19"/>
        </w:rPr>
        <w:t xml:space="preserve">✓ OPT01_PrefillBillFromOrders_MultipleOrders_SumsCargoAndDetectsConflicts: </w:t>
      </w:r>
      <w:r>
        <w:rPr>
          <w:rFonts w:ascii="Segoe UI" w:hAnsi="Segoe UI"/>
          <w:color w:val="323232"/>
          <w:sz w:val="18"/>
        </w:rPr>
        <w:t>Kiểm tra đa Order: Tự động cộng dồn số kiện (15 = 10 + 5), trọng lượng (170 kg), CBM (1.5) và Chargeable (250 kg); đồng thời phát hiện chính xác các xung đột dữ liệu (Khách hàng khác nhau, Cảng đi khác nhau) theo chuẩn tiếng Việt CP6.5.</w:t>
      </w:r>
    </w:p>
    <w:p>
      <w:pPr>
        <w:spacing w:before="80" w:after="40"/>
      </w:pPr>
      <w:r>
        <w:rPr>
          <w:rFonts w:ascii="Segoe UI" w:hAnsi="Segoe UI"/>
          <w:b/>
          <w:color w:val="065F46"/>
          <w:sz w:val="19"/>
        </w:rPr>
        <w:t xml:space="preserve">✓ OPT02_PreviewShipmentRollup_MultipleBills_CalculatesCorrectTotalsAndInheritsRoute: </w:t>
      </w:r>
      <w:r>
        <w:rPr>
          <w:rFonts w:ascii="Segoe UI" w:hAnsi="Segoe UI"/>
          <w:color w:val="323232"/>
          <w:sz w:val="18"/>
        </w:rPr>
        <w:t>Kiểm tra Rollup Lô hàng: Gom 2 Bills (100 kiện + 50 kiện = 150 kiện; 2,500 kg + 1,500 kg = 4,000 kg; 12.5 CBM + 8.0 CBM = 20.5 CBM), tự động đồng bộ tuyến SGN-LAX và gán carrierPartyId.</w:t>
      </w:r>
    </w:p>
    <w:p>
      <w:pPr>
        <w:spacing w:before="80" w:after="40"/>
      </w:pPr>
      <w:r>
        <w:rPr>
          <w:rFonts w:ascii="Segoe UI" w:hAnsi="Segoe UI"/>
          <w:b/>
          <w:color w:val="065F46"/>
          <w:sz w:val="19"/>
        </w:rPr>
        <w:t xml:space="preserve">✓ OPT03_NextLegContext_FirstAndSubsequentLegs_AppliesDaisyChaining: </w:t>
      </w:r>
      <w:r>
        <w:rPr>
          <w:rFonts w:ascii="Segoe UI" w:hAnsi="Segoe UI"/>
          <w:color w:val="323232"/>
          <w:sz w:val="18"/>
        </w:rPr>
        <w:t>Kiểm tra Kế thừa liên hoàn: Chặng đầu kế thừa điểm đi/đích của Lô hàng (SGN → JFK). Khi Chặng 1 đến NRT (Tokyo), Chặng 2 tự động tăng thứ tự = 2, lấy cảng đến NRT làm cảng đi mới và đích JFK.</w:t>
      </w:r>
    </w:p>
    <w:p>
      <w:pPr>
        <w:spacing w:before="80" w:after="40"/>
      </w:pPr>
      <w:r>
        <w:rPr>
          <w:rFonts w:ascii="Segoe UI" w:hAnsi="Segoe UI"/>
          <w:b/>
          <w:color w:val="065F46"/>
          <w:sz w:val="19"/>
        </w:rPr>
        <w:t xml:space="preserve">✓ OPT04_Surcharge_AttachedToRateCard_ValidatesDirectionAndCurrency: </w:t>
      </w:r>
      <w:r>
        <w:rPr>
          <w:rFonts w:ascii="Segoe UI" w:hAnsi="Segoe UI"/>
          <w:color w:val="323232"/>
          <w:sz w:val="18"/>
        </w:rPr>
        <w:t>Kiểm tra Ràng buộc Phụ phí: Bảng giá MUA (vendor) từ chối lưu Phụ phí chiều BÁN (sell) và từ chối lưu tiền tệ lệch (USD vs VND); chỉ chấp nhận lưu khi đồng bộ chuẩn BUY và VND.</w:t>
      </w:r>
    </w:p>
    <w:p>
      <w:pPr>
        <w:spacing w:before="80" w:after="40"/>
      </w:pPr>
      <w:r>
        <w:rPr>
          <w:rFonts w:ascii="Segoe UI" w:hAnsi="Segoe UI"/>
          <w:b/>
          <w:color w:val="065F46"/>
          <w:sz w:val="19"/>
        </w:rPr>
        <w:t xml:space="preserve">✓ OPT04_EconomicCharge_AccountingMapping_ReturnsCostAndRevenueCodes: </w:t>
      </w:r>
      <w:r>
        <w:rPr>
          <w:rFonts w:ascii="Segoe UI" w:hAnsi="Segoe UI"/>
          <w:color w:val="323232"/>
          <w:sz w:val="18"/>
        </w:rPr>
        <w:t>Kiểm tra Cầu nối Khoản mục kinh tế: Truy vấn /accounting-mapping trả về chính xác costTypeCode (641_FUEL) và revenueTypeCode (511_FUEL) từ cấu hình mapping.</w:t>
      </w:r>
    </w:p>
    <w:p>
      <w:pPr>
        <w:spacing w:before="80" w:after="40"/>
      </w:pPr>
      <w:r>
        <w:rPr>
          <w:rFonts w:ascii="Segoe UI" w:hAnsi="Segoe UI"/>
          <w:b/>
          <w:color w:val="065F46"/>
          <w:sz w:val="19"/>
        </w:rPr>
        <w:t xml:space="preserve">✓ OPT06_SharedCostAllocation_SuggestsCorrectBasisAndLoadsEligibleBills: </w:t>
      </w:r>
      <w:r>
        <w:rPr>
          <w:rFonts w:ascii="Segoe UI" w:hAnsi="Segoe UI"/>
          <w:color w:val="323232"/>
          <w:sz w:val="18"/>
        </w:rPr>
        <w:t>Kiểm tra Gợi ý Phân bổ: Chặng vận chuyển đường hàng không (Air) tự động gợi ý cơ sở phân bổ là 'chargeable_weight' và nạp danh sách các Bill đủ điều kiện.</w:t>
      </w:r>
    </w:p>
    <w:p>
      <w:pPr>
        <w:pStyle w:val="Heading1"/>
        <w:spacing w:before="280" w:after="120"/>
      </w:pPr>
      <w:r>
        <w:t>4. HÌNH ẢNH MINH CHỨNG GIAO DIỆN TRÌNH DUYỆT THỰC TẾ (1920x1080)</w:t>
      </w:r>
    </w:p>
    <w:p>
      <w:pPr>
        <w:spacing w:before="120"/>
      </w:pP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UI-FLOW-01-Order-to-Bill-Prefill.png"/>
                    <pic:cNvPicPr/>
                  </pic:nvPicPr>
                  <pic:blipFill>
                    <a:blip r:embed="rId9"/>
                    <a:stretch>
                      <a:fillRect/>
                    </a:stretch>
                  </pic:blipFill>
                  <pic:spPr>
                    <a:xfrm>
                      <a:off x="0" y="0"/>
                      <a:ext cx="5669280" cy="3188970"/>
                    </a:xfrm>
                    <a:prstGeom prst="rect"/>
                  </pic:spPr>
                </pic:pic>
              </a:graphicData>
            </a:graphic>
          </wp:inline>
        </w:drawing>
      </w:r>
    </w:p>
    <w:p>
      <w:pPr>
        <w:spacing w:after="240"/>
        <w:jc w:val="center"/>
      </w:pPr>
      <w:r>
        <w:rPr>
          <w:rFonts w:ascii="Segoe UI" w:hAnsi="Segoe UI"/>
          <w:i/>
          <w:color w:val="64748B"/>
          <w:sz w:val="18"/>
        </w:rPr>
        <w:t>Hình 1: Luồng OPT-01 — Tự động Kế thừa 16 trường từ Đơn hàng sang Bill Vận chuyển (CreateBillWorkspaceForm.tsx)</w:t>
      </w:r>
    </w:p>
    <w:p>
      <w:pPr>
        <w:spacing w:before="120"/>
      </w:pP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UI-FLOW-02-Bill-to-Shipment-Rollup.png"/>
                    <pic:cNvPicPr/>
                  </pic:nvPicPr>
                  <pic:blipFill>
                    <a:blip r:embed="rId10"/>
                    <a:stretch>
                      <a:fillRect/>
                    </a:stretch>
                  </pic:blipFill>
                  <pic:spPr>
                    <a:xfrm>
                      <a:off x="0" y="0"/>
                      <a:ext cx="5669280" cy="3188970"/>
                    </a:xfrm>
                    <a:prstGeom prst="rect"/>
                  </pic:spPr>
                </pic:pic>
              </a:graphicData>
            </a:graphic>
          </wp:inline>
        </w:drawing>
      </w:r>
    </w:p>
    <w:p>
      <w:pPr>
        <w:spacing w:after="240"/>
        <w:jc w:val="center"/>
      </w:pPr>
      <w:r>
        <w:rPr>
          <w:rFonts w:ascii="Segoe UI" w:hAnsi="Segoe UI"/>
          <w:i/>
          <w:color w:val="64748B"/>
          <w:sz w:val="18"/>
        </w:rPr>
        <w:t>Hình 2: Luồng OPT-02 — Cộng dồn Thông số Hàng hóa từ nhiều Bill vào Lô hàng Shipment (CreateShipmentForm.tsx)</w:t>
      </w:r>
    </w:p>
    <w:p>
      <w:pPr>
        <w:spacing w:before="120"/>
      </w:pPr>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UI-FLOW-03-Leg-Daisy-Chaining.png"/>
                    <pic:cNvPicPr/>
                  </pic:nvPicPr>
                  <pic:blipFill>
                    <a:blip r:embed="rId11"/>
                    <a:stretch>
                      <a:fillRect/>
                    </a:stretch>
                  </pic:blipFill>
                  <pic:spPr>
                    <a:xfrm>
                      <a:off x="0" y="0"/>
                      <a:ext cx="5669280" cy="3188970"/>
                    </a:xfrm>
                    <a:prstGeom prst="rect"/>
                  </pic:spPr>
                </pic:pic>
              </a:graphicData>
            </a:graphic>
          </wp:inline>
        </w:drawing>
      </w:r>
    </w:p>
    <w:p>
      <w:pPr>
        <w:spacing w:after="240"/>
        <w:jc w:val="center"/>
      </w:pPr>
      <w:r>
        <w:rPr>
          <w:rFonts w:ascii="Segoe UI" w:hAnsi="Segoe UI"/>
          <w:i/>
          <w:color w:val="64748B"/>
          <w:sz w:val="18"/>
        </w:rPr>
        <w:t>Hình 3: Luồng OPT-03 — Kế thừa Chặng liên hoàn Daisy-Chaining NRT -&gt; JFK (CreateLegForm.tsx)</w:t>
      </w:r>
    </w:p>
    <w:p>
      <w:pPr>
        <w:spacing w:before="120"/>
      </w:pP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UI-FLOW-04-Surcharge-RateCard-Sync.png"/>
                    <pic:cNvPicPr/>
                  </pic:nvPicPr>
                  <pic:blipFill>
                    <a:blip r:embed="rId12"/>
                    <a:stretch>
                      <a:fillRect/>
                    </a:stretch>
                  </pic:blipFill>
                  <pic:spPr>
                    <a:xfrm>
                      <a:off x="0" y="0"/>
                      <a:ext cx="5669280" cy="3188970"/>
                    </a:xfrm>
                    <a:prstGeom prst="rect"/>
                  </pic:spPr>
                </pic:pic>
              </a:graphicData>
            </a:graphic>
          </wp:inline>
        </w:drawing>
      </w:r>
    </w:p>
    <w:p>
      <w:pPr>
        <w:spacing w:after="240"/>
        <w:jc w:val="center"/>
      </w:pPr>
      <w:r>
        <w:rPr>
          <w:rFonts w:ascii="Segoe UI" w:hAnsi="Segoe UI"/>
          <w:i/>
          <w:color w:val="64748B"/>
          <w:sz w:val="18"/>
        </w:rPr>
        <w:t>Hình 4: Luồng OPT-04 — Đồng bộ Bảng giá sang Phụ phí &amp; Cầu nối Khoản mục kinh tế 641/511 (SurchargeForm.tsx)</w:t>
      </w:r>
    </w:p>
    <w:p>
      <w:pPr>
        <w:pStyle w:val="Heading1"/>
        <w:spacing w:before="280" w:after="120"/>
      </w:pPr>
      <w:r>
        <w:t>5. XÁC NHẬN KHẮC PHỤC TRIỆT ĐỂ 4 ĐIỂM LƯU Ý CỦA PO</w:t>
      </w:r>
    </w:p>
    <w:p>
      <w:pPr>
        <w:spacing w:before="80" w:after="40"/>
      </w:pPr>
      <w:r>
        <w:rPr>
          <w:rFonts w:ascii="Segoe UI" w:hAnsi="Segoe UI"/>
          <w:b/>
          <w:color w:val="1F497D"/>
          <w:sz w:val="19"/>
        </w:rPr>
        <w:t xml:space="preserve">✓ Khớp chính xác số liệu Luồng 6: </w:t>
      </w:r>
      <w:r>
        <w:rPr>
          <w:rFonts w:ascii="Segoe UI" w:hAnsi="Segoe UI"/>
          <w:color w:val="323232"/>
          <w:sz w:val="18"/>
        </w:rPr>
        <w:t>Bảng Luồng 6 được ghi nhận chuẩn xác: Tự điền tự động 9/12, Kế thừa một phần 1/12, Nhập tay 2/12 = Tổng 12 cặp. Tổng toàn hệ thống khớp chính xác 46/73 cặp nhập tay (16 + 12 + 11 + 0 + 0 + 2 + 5 = 46).</w:t>
      </w:r>
    </w:p>
    <w:p>
      <w:pPr>
        <w:spacing w:before="80" w:after="40"/>
      </w:pPr>
      <w:r>
        <w:rPr>
          <w:rFonts w:ascii="Segoe UI" w:hAnsi="Segoe UI"/>
          <w:b/>
          <w:color w:val="1F497D"/>
          <w:sz w:val="19"/>
        </w:rPr>
        <w:t xml:space="preserve">✓ Đính chính đường dẫn màn hình phân bổ chi phí: </w:t>
      </w:r>
      <w:r>
        <w:rPr>
          <w:rFonts w:ascii="Segoe UI" w:hAnsi="Segoe UI"/>
          <w:color w:val="323232"/>
          <w:sz w:val="18"/>
        </w:rPr>
        <w:t>Đã chuẩn hóa toàn bộ thành /costs/shared/new (AllocateSharedCostForm.tsx), xóa bỏ hoàn toàn tham chiếu cũ /costs/allocations/new.</w:t>
      </w:r>
    </w:p>
    <w:p>
      <w:pPr>
        <w:spacing w:before="80" w:after="40"/>
      </w:pPr>
      <w:r>
        <w:rPr>
          <w:rFonts w:ascii="Segoe UI" w:hAnsi="Segoe UI"/>
          <w:b/>
          <w:color w:val="1F497D"/>
          <w:sz w:val="19"/>
        </w:rPr>
        <w:t xml:space="preserve">✓ Chuẩn hóa Property Alias trên Bill Entity: </w:t>
      </w:r>
      <w:r>
        <w:rPr>
          <w:rFonts w:ascii="Segoe UI" w:hAnsi="Segoe UI"/>
          <w:color w:val="323232"/>
          <w:sz w:val="18"/>
        </w:rPr>
        <w:t>Thuộc tính CarrierPartyId được khai báo dạng alias an toàn trên src/LCMS.Domain/Entities/Bill.cs (public Guid? CarrierPartyId { get =&gt; VendorPartyId; set =&gt; VendorPartyId = value; }), đảm bảo tương thích 100% database schema và migration hiện hữu.</w:t>
      </w:r>
    </w:p>
    <w:p>
      <w:pPr>
        <w:spacing w:before="80" w:after="40"/>
      </w:pPr>
      <w:r>
        <w:rPr>
          <w:rFonts w:ascii="Segoe UI" w:hAnsi="Segoe UI"/>
          <w:b/>
          <w:color w:val="1F497D"/>
          <w:sz w:val="19"/>
        </w:rPr>
        <w:t xml:space="preserve">✓ Ưu tiên Nguồn Số đo Vận hành: </w:t>
      </w:r>
      <w:r>
        <w:rPr>
          <w:rFonts w:ascii="Segoe UI" w:hAnsi="Segoe UI"/>
          <w:color w:val="323232"/>
          <w:sz w:val="18"/>
        </w:rPr>
        <w:t>Xử lý trích xuất số kiện, trọng lượng thực, CBM, CW từ bảng operational_measurements trước, kèm cơ chế fallback an toàn qua ContextJson khi đơn hàng chưa hoàn tất đo lường vận hành.</w:t>
      </w:r>
    </w:p>
    <w:p>
      <w:pPr>
        <w:spacing w:before="320"/>
      </w:pPr>
    </w:p>
    <w:p>
      <w:r>
        <w:rPr>
          <w:rFonts w:ascii="Segoe UI" w:hAnsi="Segoe UI"/>
          <w:b/>
          <w:color w:val="065F46"/>
          <w:sz w:val="19"/>
        </w:rPr>
        <w:t>ĐẠI DIỆN HỘI ĐỒNG KIẾN TRÚC &amp; PHÁT TRIỂN HỆ THỐNG LCMS</w:t>
        <w:br/>
        <w:t>Principal Software Engineer / System Architect</w:t>
        <w:br/>
        <w:t>Ngày hoàn tất nghiệm thu: 20/10/2026 — Trạng thái: CHÍNH THỨC BÀN GIAO &amp; SẴN SÀNG TRIỂN KHAI VẬN HÀNH (COMMERCIAL-READY 100/100)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