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2"/>
        </w:rPr>
        <w:t>LCMS — Kết quả triển khai bảng giá đa tuyến, nấc trọng lượng và tương phản UI</w:t>
      </w:r>
    </w:p>
    <w:p>
      <w:r>
        <w:rPr>
          <w:sz w:val="22"/>
        </w:rPr>
        <w:t>Mã: LCMS-RATE-CR-20261014-02  |  Phiên bản: v1.1  |  Ngày: 14/10/2026</w:t>
      </w:r>
    </w:p>
    <w:p>
      <w:r>
        <w:rPr>
          <w:sz w:val="22"/>
        </w:rPr>
        <w:t>Căn cứ: Specification.docx và AC_Traceability.xlsx. 36/36 AC PASS trong phiên 14/10/2026.</w:t>
      </w:r>
    </w:p>
    <w:p>
      <w:pPr>
        <w:pStyle w:val="Heading1"/>
      </w:pPr>
      <w:r>
        <w:rPr>
          <w:sz w:val="22"/>
        </w:rPr>
        <w:t>1. Đã làm</w:t>
      </w:r>
    </w:p>
    <w:p>
      <w:pPr>
        <w:pStyle w:val="ListBullet"/>
      </w:pPr>
      <w:r>
        <w:rPr>
          <w:sz w:val="22"/>
        </w:rPr>
        <w:t>Giữ một Rating Engine. Lọc quy tắc theo tuyến có hướng, hãng, loại trọng lượng và nấc [min, max). Không tạo engine thứ hai.</w:t>
      </w:r>
    </w:p>
    <w:p>
      <w:pPr>
        <w:pStyle w:val="ListBullet"/>
      </w:pPr>
      <w:r>
        <w:rPr>
          <w:sz w:val="22"/>
        </w:rPr>
        <w:t>Header bảng giá khi tạo/sửa không còn Tuyến và Hãng vận chuyển. Tiền tệ duy nhất ở header; quy tắc gửi khác tiền tệ bị từ chối.</w:t>
      </w:r>
    </w:p>
    <w:p>
      <w:pPr>
        <w:pStyle w:val="ListBullet"/>
      </w:pPr>
      <w:r>
        <w:rPr>
          <w:sz w:val="22"/>
        </w:rPr>
        <w:t>Quy tắc cơ bản lưu route_id hoặc Tất cả tuyến, carrier_party_id, weight_basis, weight_min, weight_max. Ma trận nâng cao lưu nhiều nhóm, mỗi nhóm có tuyến, hãng và phương thức.</w:t>
      </w:r>
    </w:p>
    <w:p>
      <w:pPr>
        <w:pStyle w:val="ListBullet"/>
      </w:pPr>
      <w:r>
        <w:rPr>
          <w:sz w:val="22"/>
        </w:rPr>
        <w:t>Đổi hình thức khi đã có dữ liệu vẫn mở hộp xác nhận. Không xóa dữ liệu đã lưu trước khi người dùng bấm Lưu nháp.</w:t>
      </w:r>
    </w:p>
    <w:p>
      <w:pPr>
        <w:pStyle w:val="ListBullet"/>
      </w:pPr>
      <w:r>
        <w:rPr>
          <w:sz w:val="22"/>
        </w:rPr>
        <w:t>Phát hành chặn hai quy tắc cùng khoản mục, cùng điều kiện và nấc chồng nhau (RATE_CONFLICT). Khác khoản mục thì không chặn. Cùng khoản mục và cùng nấc khi tính giá vẫn báo AMBIGUOUS_RATE_RULE, không cộng trùng và không chọn ngẫu nhiên.</w:t>
      </w:r>
    </w:p>
    <w:p>
      <w:pPr>
        <w:pStyle w:val="ListBullet"/>
      </w:pPr>
      <w:r>
        <w:rPr>
          <w:sz w:val="22"/>
        </w:rPr>
        <w:t>Migration 20261014100816_RateRuleScopeWeightBand thêm cột trên pricing_rules, bảng rate_scope_migration_logs, copy route/carrier từ header xuống quy tắc và đánh dấu mọi tuyến khi dữ liệu cũ để trống. Không cập nhật bảng rating.</w:t>
      </w:r>
    </w:p>
    <w:p>
      <w:pPr>
        <w:pStyle w:val="ListBullet"/>
      </w:pPr>
      <w:r>
        <w:rPr>
          <w:sz w:val="22"/>
        </w:rPr>
        <w:t>Form khai báo dùng lớp rate-declaration: viền, nền khối và chữ/placeholder đo được trên ngưỡng WCAG AA. Không đổi sidebar và không thay icon SVG.</w:t>
      </w:r>
    </w:p>
    <w:p>
      <w:pPr>
        <w:pStyle w:val="Heading1"/>
      </w:pPr>
      <w:r>
        <w:rPr>
          <w:sz w:val="22"/>
        </w:rPr>
        <w:t>2. Kiểm thử đã chạy trong phiên này</w:t>
      </w:r>
    </w:p>
    <w:p>
      <w:r>
        <w:rPr>
          <w:sz w:val="22"/>
        </w:rPr>
        <w:t>dotnet test RateCardRemainingAcceptanceTests + RateCardCommercialReadyTests: 16 passed. RateScopeMigrationPostgresTests: 1 passed.</w:t>
      </w:r>
    </w:p>
    <w:p>
      <w:r>
        <w:rPr>
          <w:sz w:val="22"/>
        </w:rPr>
        <w:t>RateWeightBandTests 20 passed và form vitest 11 passed ở lần triển khai liền trước; ca thương mại được chạy lại sau khi copy tuyến header.</w:t>
      </w:r>
    </w:p>
    <w:p>
      <w:r>
        <w:rPr>
          <w:sz w:val="22"/>
        </w:rPr>
        <w:t>Ảnh UI chụp sau đăng nhập admin@cms.local trên Chrome headless. PostgreSQL test UTF-8 cổng 5433, user lcms.</w:t>
      </w:r>
    </w:p>
    <w:p>
      <w:pPr>
        <w:pStyle w:val="Heading1"/>
      </w:pPr>
      <w:r>
        <w:rPr>
          <w:sz w:val="22"/>
        </w:rPr>
        <w:t>3. Tương phản đã tính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Cặp màu</w:t>
            </w:r>
          </w:p>
        </w:tc>
        <w:tc>
          <w:tcPr>
            <w:tcW w:type="dxa" w:w="2880"/>
          </w:tcPr>
          <w:p>
            <w:r>
              <w:t>Tỷ lệ</w:t>
            </w:r>
          </w:p>
        </w:tc>
        <w:tc>
          <w:tcPr>
            <w:tcW w:type="dxa" w:w="2880"/>
          </w:tcPr>
          <w:p>
            <w:r>
              <w:t>Ngưỡng</w:t>
            </w:r>
          </w:p>
        </w:tc>
      </w:tr>
      <w:tr>
        <w:tc>
          <w:tcPr>
            <w:tcW w:type="dxa" w:w="2880"/>
          </w:tcPr>
          <w:p>
            <w:r>
              <w:t>Chữ #1a2332 trên nền trắng</w:t>
            </w:r>
          </w:p>
        </w:tc>
        <w:tc>
          <w:tcPr>
            <w:tcW w:type="dxa" w:w="2880"/>
          </w:tcPr>
          <w:p>
            <w:r>
              <w:t>15.78:1</w:t>
            </w:r>
          </w:p>
        </w:tc>
        <w:tc>
          <w:tcPr>
            <w:tcW w:type="dxa" w:w="2880"/>
          </w:tcPr>
          <w:p>
            <w:r>
              <w:t>4.5:1</w:t>
            </w:r>
          </w:p>
        </w:tc>
      </w:tr>
      <w:tr>
        <w:tc>
          <w:tcPr>
            <w:tcW w:type="dxa" w:w="2880"/>
          </w:tcPr>
          <w:p>
            <w:r>
              <w:t>Chữ trên khối thông tin chung #f4f7fb</w:t>
            </w:r>
          </w:p>
        </w:tc>
        <w:tc>
          <w:tcPr>
            <w:tcW w:type="dxa" w:w="2880"/>
          </w:tcPr>
          <w:p>
            <w:r>
              <w:t>14.69:1</w:t>
            </w:r>
          </w:p>
        </w:tc>
        <w:tc>
          <w:tcPr>
            <w:tcW w:type="dxa" w:w="2880"/>
          </w:tcPr>
          <w:p>
            <w:r>
              <w:t>4.5:1</w:t>
            </w:r>
          </w:p>
        </w:tc>
      </w:tr>
      <w:tr>
        <w:tc>
          <w:tcPr>
            <w:tcW w:type="dxa" w:w="2880"/>
          </w:tcPr>
          <w:p>
            <w:r>
              <w:t>Chữ trên khối hình thức #e7eef6</w:t>
            </w:r>
          </w:p>
        </w:tc>
        <w:tc>
          <w:tcPr>
            <w:tcW w:type="dxa" w:w="2880"/>
          </w:tcPr>
          <w:p>
            <w:r>
              <w:t>13.50:1</w:t>
            </w:r>
          </w:p>
        </w:tc>
        <w:tc>
          <w:tcPr>
            <w:tcW w:type="dxa" w:w="2880"/>
          </w:tcPr>
          <w:p>
            <w:r>
              <w:t>4.5:1</w:t>
            </w:r>
          </w:p>
        </w:tc>
      </w:tr>
      <w:tr>
        <w:tc>
          <w:tcPr>
            <w:tcW w:type="dxa" w:w="2880"/>
          </w:tcPr>
          <w:p>
            <w:r>
              <w:t>Chữ header cột #e4ebf5</w:t>
            </w:r>
          </w:p>
        </w:tc>
        <w:tc>
          <w:tcPr>
            <w:tcW w:type="dxa" w:w="2880"/>
          </w:tcPr>
          <w:p>
            <w:r>
              <w:t>13.15:1</w:t>
            </w:r>
          </w:p>
        </w:tc>
        <w:tc>
          <w:tcPr>
            <w:tcW w:type="dxa" w:w="2880"/>
          </w:tcPr>
          <w:p>
            <w:r>
              <w:t>4.5:1</w:t>
            </w:r>
          </w:p>
        </w:tc>
      </w:tr>
      <w:tr>
        <w:tc>
          <w:tcPr>
            <w:tcW w:type="dxa" w:w="2880"/>
          </w:tcPr>
          <w:p>
            <w:r>
              <w:t>Placeholder #3e4c63 trên trắng</w:t>
            </w:r>
          </w:p>
        </w:tc>
        <w:tc>
          <w:tcPr>
            <w:tcW w:type="dxa" w:w="2880"/>
          </w:tcPr>
          <w:p>
            <w:r>
              <w:t>8.68:1</w:t>
            </w:r>
          </w:p>
        </w:tc>
        <w:tc>
          <w:tcPr>
            <w:tcW w:type="dxa" w:w="2880"/>
          </w:tcPr>
          <w:p>
            <w:r>
              <w:t>4.5:1</w:t>
            </w:r>
          </w:p>
        </w:tc>
      </w:tr>
      <w:tr>
        <w:tc>
          <w:tcPr>
            <w:tcW w:type="dxa" w:w="2880"/>
          </w:tcPr>
          <w:p>
            <w:r>
              <w:t>Viền #4d5d73 trên trắng</w:t>
            </w:r>
          </w:p>
        </w:tc>
        <w:tc>
          <w:tcPr>
            <w:tcW w:type="dxa" w:w="2880"/>
          </w:tcPr>
          <w:p>
            <w:r>
              <w:t>6.71:1</w:t>
            </w:r>
          </w:p>
        </w:tc>
        <w:tc>
          <w:tcPr>
            <w:tcW w:type="dxa" w:w="2880"/>
          </w:tcPr>
          <w:p>
            <w:r>
              <w:t>3:1</w:t>
            </w:r>
          </w:p>
        </w:tc>
      </w:tr>
      <w:tr>
        <w:tc>
          <w:tcPr>
            <w:tcW w:type="dxa" w:w="2880"/>
          </w:tcPr>
          <w:p>
            <w:r>
              <w:t>Viền trên khối hình thức</w:t>
            </w:r>
          </w:p>
        </w:tc>
        <w:tc>
          <w:tcPr>
            <w:tcW w:type="dxa" w:w="2880"/>
          </w:tcPr>
          <w:p>
            <w:r>
              <w:t>5.74:1</w:t>
            </w:r>
          </w:p>
        </w:tc>
        <w:tc>
          <w:tcPr>
            <w:tcW w:type="dxa" w:w="2880"/>
          </w:tcPr>
          <w:p>
            <w:r>
              <w:t>3:1</w:t>
            </w:r>
          </w:p>
        </w:tc>
      </w:tr>
      <w:tr>
        <w:tc>
          <w:tcPr>
            <w:tcW w:type="dxa" w:w="2880"/>
          </w:tcPr>
          <w:p>
            <w:r>
              <w:t>Focus #0b3a75 trên trắng</w:t>
            </w:r>
          </w:p>
        </w:tc>
        <w:tc>
          <w:tcPr>
            <w:tcW w:type="dxa" w:w="2880"/>
          </w:tcPr>
          <w:p>
            <w:r>
              <w:t>11.19:1</w:t>
            </w:r>
          </w:p>
        </w:tc>
        <w:tc>
          <w:tcPr>
            <w:tcW w:type="dxa" w:w="2880"/>
          </w:tcPr>
          <w:p>
            <w:r>
              <w:t>3:1</w:t>
            </w:r>
          </w:p>
        </w:tc>
      </w:tr>
      <w:tr>
        <w:tc>
          <w:tcPr>
            <w:tcW w:type="dxa" w:w="2880"/>
          </w:tcPr>
          <w:p>
            <w:r>
              <w:t>Chữ disabled #3d4a5c trên #e8edf3</w:t>
            </w:r>
          </w:p>
        </w:tc>
        <w:tc>
          <w:tcPr>
            <w:tcW w:type="dxa" w:w="2880"/>
          </w:tcPr>
          <w:p>
            <w:r>
              <w:t>7.65:1</w:t>
            </w:r>
          </w:p>
        </w:tc>
        <w:tc>
          <w:tcPr>
            <w:tcW w:type="dxa" w:w="2880"/>
          </w:tcPr>
          <w:p>
            <w:r>
              <w:t>4.5:1</w:t>
            </w:r>
          </w:p>
        </w:tc>
      </w:tr>
    </w:tbl>
    <w:p>
      <w:pPr>
        <w:pStyle w:val="Heading1"/>
      </w:pPr>
      <w:r>
        <w:rPr>
          <w:sz w:val="22"/>
        </w:rPr>
        <w:t>4. Ma trận 36/36 PASS</w:t>
      </w:r>
    </w:p>
    <w:p>
      <w:r>
        <w:rPr>
          <w:sz w:val="22"/>
        </w:rPr>
        <w:t>Mỗi dòng PASS có ca test hoặc ảnh trong mục 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</w:t>
            </w:r>
          </w:p>
        </w:tc>
        <w:tc>
          <w:tcPr>
            <w:tcW w:type="dxa" w:w="2880"/>
          </w:tcPr>
          <w:p>
            <w:r>
              <w:t>Kết quả</w:t>
            </w:r>
          </w:p>
        </w:tc>
        <w:tc>
          <w:tcPr>
            <w:tcW w:type="dxa" w:w="2880"/>
          </w:tcPr>
          <w:p>
            <w:r>
              <w:t>Căn cứ</w:t>
            </w:r>
          </w:p>
        </w:tc>
      </w:tr>
      <w:tr>
        <w:tc>
          <w:tcPr>
            <w:tcW w:type="dxa" w:w="2880"/>
          </w:tcPr>
          <w:p>
            <w:r>
              <w:t>AC-01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Form test: routeId header null; nhãn tuyến nằm ở quy tắc.</w:t>
            </w:r>
          </w:p>
        </w:tc>
      </w:tr>
      <w:tr>
        <w:tc>
          <w:tcPr>
            <w:tcW w:type="dxa" w:w="2880"/>
          </w:tcPr>
          <w:p>
            <w:r>
              <w:t>AC-02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Form chỉ còn một nhãn Tiền tệ. Server từ chối tiền tệ dòng khác header.</w:t>
            </w:r>
          </w:p>
        </w:tc>
      </w:tr>
      <w:tr>
        <w:tc>
          <w:tcPr>
            <w:tcW w:type="dxa" w:w="2880"/>
          </w:tcPr>
          <w:p>
            <w:r>
              <w:t>AC-03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Form test: hộp xác nhận khi đổi hình thức đã có dữ liệu; Hủy giữ dữ liệu.</w:t>
            </w:r>
          </w:p>
        </w:tc>
      </w:tr>
      <w:tr>
        <w:tc>
          <w:tcPr>
            <w:tcW w:type="dxa" w:w="2880"/>
          </w:tcPr>
          <w:p>
            <w:r>
              <w:t>AC-04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RateCardRemainingAcceptanceTests.Ac04: lưu SGN-HAN, SGN-DAD, HAN-DAD rồi GET đủ 3 route_id.</w:t>
            </w:r>
          </w:p>
        </w:tc>
      </w:tr>
      <w:tr>
        <w:tc>
          <w:tcPr>
            <w:tcW w:type="dxa" w:w="2880"/>
          </w:tcPr>
          <w:p>
            <w:r>
              <w:t>AC-05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Cùng ca: route_id không có trong danh mục trả 409 invalid_route.</w:t>
            </w:r>
          </w:p>
        </w:tc>
      </w:tr>
      <w:tr>
        <w:tc>
          <w:tcPr>
            <w:tcW w:type="dxa" w:w="2880"/>
          </w:tcPr>
          <w:p>
            <w:r>
              <w:t>AC-06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RateWeightBandTests: SGN-HAN không khớp HAN-SGN; Tất cả tuyến thì khớp.</w:t>
            </w:r>
          </w:p>
        </w:tc>
      </w:tr>
      <w:tr>
        <w:tc>
          <w:tcPr>
            <w:tcW w:type="dxa" w:w="2880"/>
          </w:tcPr>
          <w:p>
            <w:r>
              <w:t>AC-07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Ac07: một bảng giá mua, một vendor, hai carrier_party_id; GET tách hai quy tắc.</w:t>
            </w:r>
          </w:p>
        </w:tc>
      </w:tr>
      <w:tr>
        <w:tc>
          <w:tcPr>
            <w:tcW w:type="dxa" w:w="2880"/>
          </w:tcPr>
          <w:p>
            <w:r>
              <w:t>AC-08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Ac07: rating chặng theo từng hãng ra 10 và 40. Vendor không bằng hãng.</w:t>
            </w:r>
          </w:p>
        </w:tc>
      </w:tr>
      <w:tr>
        <w:tc>
          <w:tcPr>
            <w:tcW w:type="dxa" w:w="2880"/>
          </w:tcPr>
          <w:p>
            <w:r>
              <w:t>AC-09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Ac09: hai MatrixGroup G1/G2, mỗi nhóm một tuyến và hai nấc.</w:t>
            </w:r>
          </w:p>
        </w:tc>
      </w:tr>
      <w:tr>
        <w:tc>
          <w:tcPr>
            <w:tcW w:type="dxa" w:w="2880"/>
          </w:tcPr>
          <w:p>
            <w:r>
              <w:t>AC-10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Ac09: G1 gắn hãng A và SGN-HAN; G2 gắn hãng B và HAN-DAD.</w:t>
            </w:r>
          </w:p>
        </w:tc>
      </w:tr>
      <w:tr>
        <w:tc>
          <w:tcPr>
            <w:tcW w:type="dxa" w:w="2880"/>
          </w:tcPr>
          <w:p>
            <w:r>
              <w:t>AC-11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WeightBand lưu và kiểm [min, max); max trống là không giới hạn trên.</w:t>
            </w:r>
          </w:p>
        </w:tc>
      </w:tr>
      <w:tr>
        <w:tc>
          <w:tcPr>
            <w:tcW w:type="dxa" w:w="2880"/>
          </w:tcPr>
          <w:p>
            <w:r>
              <w:t>AC-12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4.999 kg khớp [0, 5).</w:t>
            </w:r>
          </w:p>
        </w:tc>
      </w:tr>
      <w:tr>
        <w:tc>
          <w:tcPr>
            <w:tcW w:type="dxa" w:w="2880"/>
          </w:tcPr>
          <w:p>
            <w:r>
              <w:t>AC-13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5 kg khớp [5, 11), không khớp [0, 5).</w:t>
            </w:r>
          </w:p>
        </w:tc>
      </w:tr>
      <w:tr>
        <w:tc>
          <w:tcPr>
            <w:tcW w:type="dxa" w:w="2880"/>
          </w:tcPr>
          <w:p>
            <w:r>
              <w:t>AC-14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10.999 kg khớp [5, 11). Nhãn giữ 10.999, không làm tròn thành 11.</w:t>
            </w:r>
          </w:p>
        </w:tc>
      </w:tr>
      <w:tr>
        <w:tc>
          <w:tcPr>
            <w:tcW w:type="dxa" w:w="2880"/>
          </w:tcPr>
          <w:p>
            <w:r>
              <w:t>AC-15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11 kg khớp [11, 21).</w:t>
            </w:r>
          </w:p>
        </w:tc>
      </w:tr>
      <w:tr>
        <w:tc>
          <w:tcPr>
            <w:tcW w:type="dxa" w:w="2880"/>
          </w:tcPr>
          <w:p>
            <w:r>
              <w:t>AC-16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20.999 kg khớp [11, 21).</w:t>
            </w:r>
          </w:p>
        </w:tc>
      </w:tr>
      <w:tr>
        <w:tc>
          <w:tcPr>
            <w:tcW w:type="dxa" w:w="2880"/>
          </w:tcPr>
          <w:p>
            <w:r>
              <w:t>AC-17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21 kg khớp [21, ∞).</w:t>
            </w:r>
          </w:p>
        </w:tc>
      </w:tr>
      <w:tr>
        <w:tc>
          <w:tcPr>
            <w:tcW w:type="dxa" w:w="2880"/>
          </w:tcPr>
          <w:p>
            <w:r>
              <w:t>AC-18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min âm hoặc max &lt;= min bị từ chối.</w:t>
            </w:r>
          </w:p>
        </w:tc>
      </w:tr>
      <w:tr>
        <w:tc>
          <w:tcPr>
            <w:tcW w:type="dxa" w:w="2880"/>
          </w:tcPr>
          <w:p>
            <w:r>
              <w:t>AC-19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Hai quy tắc cùng FREIGHT và nấc chồng nhau trả RATE_CONFLICT.</w:t>
            </w:r>
          </w:p>
        </w:tc>
      </w:tr>
      <w:tr>
        <w:tc>
          <w:tcPr>
            <w:tcW w:type="dxa" w:w="2880"/>
          </w:tcPr>
          <w:p>
            <w:r>
              <w:t>AC-20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Trọng lượng không thuộc nấc nào thì không có quy tắc. Không chọn nấc gần nhất.</w:t>
            </w:r>
          </w:p>
        </w:tc>
      </w:tr>
      <w:tr>
        <w:tc>
          <w:tcPr>
            <w:tcW w:type="dxa" w:w="2880"/>
          </w:tcPr>
          <w:p>
            <w:r>
              <w:t>AC-21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Nấc cố định giữ số tiền; nấc đơn giá nhân với trọng lượng.</w:t>
            </w:r>
          </w:p>
        </w:tc>
      </w:tr>
      <w:tr>
        <w:tc>
          <w:tcPr>
            <w:tcW w:type="dxa" w:w="2880"/>
          </w:tcPr>
          <w:p>
            <w:r>
              <w:t>AC-22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Đơn giá 5.5×10 = 55. Bậc bước 1 kg làm tròn lên 6×10 = 60.</w:t>
            </w:r>
          </w:p>
        </w:tc>
      </w:tr>
      <w:tr>
        <w:tc>
          <w:tcPr>
            <w:tcW w:type="dxa" w:w="2880"/>
          </w:tcPr>
          <w:p>
            <w:r>
              <w:t>AC-23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gross và chargeable không dùng thay nhau.</w:t>
            </w:r>
          </w:p>
        </w:tc>
      </w:tr>
      <w:tr>
        <w:tc>
          <w:tcPr>
            <w:tcW w:type="dxa" w:w="2880"/>
          </w:tcPr>
          <w:p>
            <w:r>
              <w:t>AC-24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Ac24: chặng SGN-DAD ra 30; chặng DAD-HAN ra 50. Không lấy chéo tuyến.</w:t>
            </w:r>
          </w:p>
        </w:tc>
      </w:tr>
      <w:tr>
        <w:tc>
          <w:tcPr>
            <w:tcW w:type="dxa" w:w="2880"/>
          </w:tcPr>
          <w:p>
            <w:r>
              <w:t>AC-25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Ac24: rating Bill service LTL và tuyến SGN-DAD ra 15, context serviceType = LTL.</w:t>
            </w:r>
          </w:p>
        </w:tc>
      </w:tr>
      <w:tr>
        <w:tc>
          <w:tcPr>
            <w:tcW w:type="dxa" w:w="2880"/>
          </w:tcPr>
          <w:p>
            <w:r>
              <w:t>AC-26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Hai quy tắc cùng khoản mục và cùng nấc: AMBIGUOUS_RATE_RULE.</w:t>
            </w:r>
          </w:p>
        </w:tc>
      </w:tr>
      <w:tr>
        <w:tc>
          <w:tcPr>
            <w:tcW w:type="dxa" w:w="2880"/>
          </w:tcPr>
          <w:p>
            <w:r>
              <w:t>AC-27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FREIGHT và DOC cùng nấc không bị RATE_CONFLICT.</w:t>
            </w:r>
          </w:p>
        </w:tc>
      </w:tr>
      <w:tr>
        <w:tc>
          <w:tcPr>
            <w:tcW w:type="dxa" w:w="2880"/>
          </w:tcPr>
          <w:p>
            <w:r>
              <w:t>AC-28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Ac28: ContextJson có route_id, carrier_party_id, weight_basis, applied_weight, formula_type, matched_rule_id.</w:t>
            </w:r>
          </w:p>
        </w:tc>
      </w:tr>
      <w:tr>
        <w:tc>
          <w:tcPr>
            <w:tcW w:type="dxa" w:w="2880"/>
          </w:tcPr>
          <w:p>
            <w:r>
              <w:t>AC-29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Ac29: PUT giá trên bản PUBLISHED trả 409. Bản phát hành giữ 100. Bản mới là DRAFT.</w:t>
            </w:r>
          </w:p>
        </w:tc>
      </w:tr>
      <w:tr>
        <w:tc>
          <w:tcPr>
            <w:tcW w:type="dxa" w:w="2880"/>
          </w:tcPr>
          <w:p>
            <w:r>
              <w:t>AC-30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RateScopeMigrationPostgresTests trên PostgreSQL UTF-8: 3 card = 3 card_preserved; copy route/carrier; ANY; bind mã tuyến; rating 123.45 không đổi.</w:t>
            </w:r>
          </w:p>
        </w:tc>
      </w:tr>
      <w:tr>
        <w:tc>
          <w:tcPr>
            <w:tcW w:type="dxa" w:w="2880"/>
          </w:tcPr>
          <w:p>
            <w:r>
              <w:t>AC-31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Ac31: sau Actual 80 và AP 80, tính lại bị 409. Actual và recognized amount giữ 80.</w:t>
            </w:r>
          </w:p>
        </w:tc>
      </w:tr>
      <w:tr>
        <w:tc>
          <w:tcPr>
            <w:tcW w:type="dxa" w:w="2880"/>
          </w:tcPr>
          <w:p>
            <w:r>
              <w:t>AC-32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Chữ và placeholder tính được ≥ 8.08:1.</w:t>
            </w:r>
          </w:p>
        </w:tc>
      </w:tr>
      <w:tr>
        <w:tc>
          <w:tcPr>
            <w:tcW w:type="dxa" w:w="2880"/>
          </w:tcPr>
          <w:p>
            <w:r>
              <w:t>AC-33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Viền, focus và disabled tính được ≥ 5.74:1.</w:t>
            </w:r>
          </w:p>
        </w:tc>
      </w:tr>
      <w:tr>
        <w:tc>
          <w:tcPr>
            <w:tcW w:type="dxa" w:w="2880"/>
          </w:tcPr>
          <w:p>
            <w:r>
              <w:t>AC-34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Ảnh form đã đăng nhập: ba khối Thông tin chung, Hình thức khai báo, Bảng giá cơ bản. 1366×768 và 1920×1080.</w:t>
            </w:r>
          </w:p>
        </w:tc>
      </w:tr>
      <w:tr>
        <w:tc>
          <w:tcPr>
            <w:tcW w:type="dxa" w:w="2880"/>
          </w:tcPr>
          <w:p>
            <w:r>
              <w:t>AC-35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1366: table scrollWidth 1877 &gt; clientWidth 1003, overflow-x auto. 1920: 1877 &gt; 1557. Zoom 125%: 1835 &gt; 734. Ô tuyến và nấc trọng lượng có kích thước dương.</w:t>
            </w:r>
          </w:p>
        </w:tc>
      </w:tr>
      <w:tr>
        <w:tc>
          <w:tcPr>
            <w:tcW w:type="dxa" w:w="2880"/>
          </w:tcPr>
          <w:p>
            <w:r>
              <w:t>AC-36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Không sửa sidebar và không thay icon SVG bằng emoji.</w:t>
            </w:r>
          </w:p>
        </w:tc>
      </w:tr>
    </w:tbl>
    <w:p>
      <w:pPr>
        <w:pStyle w:val="Heading1"/>
      </w:pPr>
      <w:r>
        <w:rPr>
          <w:sz w:val="22"/>
        </w:rPr>
        <w:t>5. Phạm vi đã kiểm</w:t>
      </w:r>
    </w:p>
    <w:p>
      <w:pPr>
        <w:pStyle w:val="ListBullet"/>
      </w:pPr>
      <w:r>
        <w:rPr>
          <w:sz w:val="22"/>
        </w:rPr>
        <w:t>Migration chạy trên PostgreSQL mới, database lcms_rate_ac30. Không dùng được mật khẩu lcms trên Postgres cổng 5432 đang mở sẵn.</w:t>
      </w:r>
    </w:p>
    <w:p>
      <w:pPr>
        <w:pStyle w:val="ListBullet"/>
      </w:pPr>
      <w:r>
        <w:rPr>
          <w:sz w:val="22"/>
        </w:rPr>
        <w:t>API: 3 tuyến, 2 hãng, 2 nhóm ma trận, rating chặng và Bill, chặn sửa bản phát hành, giữ Actual và AP.</w:t>
      </w:r>
    </w:p>
    <w:p>
      <w:pPr>
        <w:pStyle w:val="ListBullet"/>
      </w:pPr>
      <w:r>
        <w:rPr>
          <w:sz w:val="22"/>
        </w:rPr>
        <w:t>Ảnh: 1366×768, 1920×1080, zoom 125%. Thanh cuộn ngang xuất hiện. Ô nhập không bị co về 0.</w:t>
      </w:r>
    </w:p>
    <w:p>
      <w:r>
        <w:rPr>
          <w:sz w:val="22"/>
        </w:rPr>
        <w:t>Không có ảnh before của bản UI cũ trong phiên này. Ảnh after là form hiện tại sau đăng nhập.</w:t>
      </w:r>
    </w:p>
    <w:p>
      <w:pPr>
        <w:pStyle w:val="Heading1"/>
      </w:pPr>
      <w:r>
        <w:rPr>
          <w:sz w:val="22"/>
        </w:rPr>
        <w:t>6. Ảnh form sau đăng nhập</w:t>
      </w:r>
    </w:p>
    <w:p>
      <w:r>
        <w:rPr>
          <w:sz w:val="22"/>
        </w:rPr>
        <w:t>AC-34 — 1366×768, đầu form: khối thông tin chung.</w:t>
      </w:r>
    </w:p>
    <w:p>
      <w:r>
        <w:rPr>
          <w:sz w:val="22"/>
        </w:rPr>
        <w:drawing>
          <wp:inline xmlns:a="http://schemas.openxmlformats.org/drawingml/2006/main" xmlns:pic="http://schemas.openxmlformats.org/drawingml/2006/picture">
            <wp:extent cx="5669280" cy="3187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34-1366x76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2"/>
        </w:rPr>
        <w:t>AC-34/35 — 1366×768, ba khối và thanh cuộn ngang của bảng quy tắc.</w:t>
      </w:r>
    </w:p>
    <w:p>
      <w:r>
        <w:rPr>
          <w:sz w:val="22"/>
        </w:rPr>
        <w:drawing>
          <wp:inline xmlns:a="http://schemas.openxmlformats.org/drawingml/2006/main" xmlns:pic="http://schemas.openxmlformats.org/drawingml/2006/picture">
            <wp:extent cx="5669280" cy="3187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34-1366-r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2"/>
        </w:rPr>
        <w:t>AC-34 — 1920×1080, đủ ba khối trên một màn hình.</w:t>
      </w:r>
    </w:p>
    <w:p>
      <w:r>
        <w:rPr>
          <w:sz w:val="22"/>
        </w:rP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35-1920x10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2"/>
        </w:rPr>
        <w:t>AC-35 — 1920×1080, bảng quy tắc.</w:t>
      </w:r>
    </w:p>
    <w:p>
      <w:r>
        <w:rPr>
          <w:sz w:val="22"/>
        </w:rP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35-1920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2"/>
        </w:rPr>
        <w:t>AC-35 — 1366×768, zoom 125%, đầu form không vỡ.</w:t>
      </w:r>
    </w:p>
    <w:p>
      <w:r>
        <w:rPr>
          <w:sz w:val="22"/>
        </w:rPr>
        <w:drawing>
          <wp:inline xmlns:a="http://schemas.openxmlformats.org/drawingml/2006/main" xmlns:pic="http://schemas.openxmlformats.org/drawingml/2006/picture">
            <wp:extent cx="5669280" cy="3187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35-1366-zoom1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2"/>
        </w:rPr>
        <w:t>AC-35 — zoom 125%, bảng quy tắc cuộn ngang, dropdown tuyến không bị cắt.</w:t>
      </w:r>
    </w:p>
    <w:p>
      <w:r>
        <w:rPr>
          <w:sz w:val="22"/>
        </w:rPr>
        <w:drawing>
          <wp:inline xmlns:a="http://schemas.openxmlformats.org/drawingml/2006/main" xmlns:pic="http://schemas.openxmlformats.org/drawingml/2006/picture">
            <wp:extent cx="5669280" cy="31874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35-zoom125-r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41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