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ĐIỀU CHỈNH BA BẢNG GIÁ</w:t>
      </w:r>
    </w:p>
    <w:p>
      <w:r>
        <w:t>Mã: LCMS-CR-20261014-01  •  Phiên bản: v1.0 FINAL FOR DEV  •  Ngày: 14/10/2026</w:t>
      </w:r>
    </w:p>
    <w:p>
      <w:r>
        <w:t>Phạm vi phát hành: 4 issue giao diện bảng giá mới; tham chiếu 4 issue đã bàn giao ngày 13/10 và COST-LEG-01 v1.1. Không yêu cầu làm lại các phần đã hoàn thành.</w:t>
      </w:r>
    </w:p>
    <w:p>
      <w:pPr>
        <w:pStyle w:val="Heading1"/>
      </w:pPr>
      <w:r>
        <w:t>1. Baseline, quyết định PO và phạm vi</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Nội dung</w:t>
            </w:r>
          </w:p>
        </w:tc>
        <w:tc>
          <w:tcPr>
            <w:tcW w:type="dxa" w:w="2160"/>
          </w:tcPr>
          <w:p>
            <w:r>
              <w:t>Trạng thái gói này</w:t>
            </w:r>
          </w:p>
        </w:tc>
        <w:tc>
          <w:tcPr>
            <w:tcW w:type="dxa" w:w="2160"/>
          </w:tcPr>
          <w:p>
            <w:r>
              <w:t>Ghi chú</w:t>
            </w:r>
          </w:p>
        </w:tc>
      </w:tr>
      <w:tr>
        <w:tc>
          <w:tcPr>
            <w:tcW w:type="dxa" w:w="2160"/>
          </w:tcPr>
          <w:p>
            <w:r>
              <w:t>RATE-UI-01</w:t>
            </w:r>
          </w:p>
        </w:tc>
        <w:tc>
          <w:tcPr>
            <w:tcW w:type="dxa" w:w="2160"/>
          </w:tcPr>
          <w:p>
            <w:r>
              <w:t>Danh mục Tuyến trong Tạo bảng giá</w:t>
            </w:r>
          </w:p>
        </w:tc>
        <w:tc>
          <w:tcPr>
            <w:tcW w:type="dxa" w:w="2160"/>
          </w:tcPr>
          <w:p>
            <w:r>
              <w:t>CODING</w:t>
            </w:r>
          </w:p>
        </w:tc>
        <w:tc>
          <w:tcPr>
            <w:tcW w:type="dxa" w:w="2160"/>
          </w:tcPr>
          <w:p>
            <w:r>
              <w:t>Dropdown tìm kiếm chọn tuyến từ danh mục hiện có; lưu ID và hiển thị mã/tuyến; xử lý tuyến ngừng dùng, dữ liệu cũ.</w:t>
            </w:r>
          </w:p>
        </w:tc>
      </w:tr>
      <w:tr>
        <w:tc>
          <w:tcPr>
            <w:tcW w:type="dxa" w:w="2160"/>
          </w:tcPr>
          <w:p>
            <w:r>
              <w:t>RATE-UI-02</w:t>
            </w:r>
          </w:p>
        </w:tc>
        <w:tc>
          <w:tcPr>
            <w:tcW w:type="dxa" w:w="2160"/>
          </w:tcPr>
          <w:p>
            <w:r>
              <w:t>Danh mục Tiền tệ trong Tạo bảng giá</w:t>
            </w:r>
          </w:p>
        </w:tc>
        <w:tc>
          <w:tcPr>
            <w:tcW w:type="dxa" w:w="2160"/>
          </w:tcPr>
          <w:p>
            <w:r>
              <w:t>CODING</w:t>
            </w:r>
          </w:p>
        </w:tc>
        <w:tc>
          <w:tcPr>
            <w:tcW w:type="dxa" w:w="2160"/>
          </w:tcPr>
          <w:p>
            <w:r>
              <w:t>Dropdown tiền tệ hợp lệ từ danh mục; VND chỉ là mặc định cấu hình; không thay đổi FX Policy.</w:t>
            </w:r>
          </w:p>
        </w:tc>
      </w:tr>
      <w:tr>
        <w:tc>
          <w:tcPr>
            <w:tcW w:type="dxa" w:w="2160"/>
          </w:tcPr>
          <w:p>
            <w:r>
              <w:t>RATE-UI-03</w:t>
            </w:r>
          </w:p>
        </w:tc>
        <w:tc>
          <w:tcPr>
            <w:tcW w:type="dxa" w:w="2160"/>
          </w:tcPr>
          <w:p>
            <w:r>
              <w:t>Hai hình thức khai báo bảng giá</w:t>
            </w:r>
          </w:p>
        </w:tc>
        <w:tc>
          <w:tcPr>
            <w:tcW w:type="dxa" w:w="2160"/>
          </w:tcPr>
          <w:p>
            <w:r>
              <w:t>CODING</w:t>
            </w:r>
          </w:p>
        </w:tc>
        <w:tc>
          <w:tcPr>
            <w:tcW w:type="dxa" w:w="2160"/>
          </w:tcPr>
          <w:p>
            <w:r>
              <w:t>Tạo bảng giá: Thông tin chung + Bảng giá cơ bản / Bảng giá nâng cao; đúng một hình thức cho mỗi bảng giá; chuyển thêm quy tắc từ Chi tiết sang Tạo/Chỉnh sửa; chi tiết chỉ xem.</w:t>
            </w:r>
          </w:p>
        </w:tc>
      </w:tr>
      <w:tr>
        <w:tc>
          <w:tcPr>
            <w:tcW w:type="dxa" w:w="2160"/>
          </w:tcPr>
          <w:p>
            <w:r>
              <w:t>RATE-RULE-UX-01</w:t>
            </w:r>
          </w:p>
        </w:tc>
        <w:tc>
          <w:tcPr>
            <w:tcW w:type="dxa" w:w="2160"/>
          </w:tcPr>
          <w:p>
            <w:r>
              <w:t>Diễn giải cách tính và đơn giá</w:t>
            </w:r>
          </w:p>
        </w:tc>
        <w:tc>
          <w:tcPr>
            <w:tcW w:type="dxa" w:w="2160"/>
          </w:tcPr>
          <w:p>
            <w:r>
              <w:t>UX CLARIFICATION</w:t>
            </w:r>
          </w:p>
        </w:tc>
        <w:tc>
          <w:tcPr>
            <w:tcW w:type="dxa" w:w="2160"/>
          </w:tcPr>
          <w:p>
            <w:r>
              <w:t>Đổi nhãn Số tiền/Đơn giá theo Cách tính; làm rõ đơn vị áp dụng; không bổ sung thuật toán hay công thức mới.</w:t>
            </w:r>
          </w:p>
        </w:tc>
      </w:tr>
      <w:tr>
        <w:tc>
          <w:tcPr>
            <w:tcW w:type="dxa" w:w="2160"/>
          </w:tcPr>
          <w:p>
            <w:r>
              <w:t>UX-SHIPMENT-01</w:t>
            </w:r>
          </w:p>
        </w:tc>
        <w:tc>
          <w:tcPr>
            <w:tcW w:type="dxa" w:w="2160"/>
          </w:tcPr>
          <w:p>
            <w:r>
              <w:t>Tạo nhanh Shipment tại Tạo Chặng</w:t>
            </w:r>
          </w:p>
        </w:tc>
        <w:tc>
          <w:tcPr>
            <w:tcW w:type="dxa" w:w="2160"/>
          </w:tcPr>
          <w:p>
            <w:r>
              <w:t>ALREADY HANDED OVER</w:t>
            </w:r>
          </w:p>
        </w:tc>
        <w:tc>
          <w:tcPr>
            <w:tcW w:type="dxa" w:w="2160"/>
          </w:tcPr>
          <w:p>
            <w:r>
              <w:t>Giữ yêu cầu đã bàn giao 13/10, kiểm tra tương thích.</w:t>
            </w:r>
          </w:p>
        </w:tc>
      </w:tr>
      <w:tr>
        <w:tc>
          <w:tcPr>
            <w:tcW w:type="dxa" w:w="2160"/>
          </w:tcPr>
          <w:p>
            <w:r>
              <w:t>SHIPMENT-MODE-01</w:t>
            </w:r>
          </w:p>
        </w:tc>
        <w:tc>
          <w:tcPr>
            <w:tcW w:type="dxa" w:w="2160"/>
          </w:tcPr>
          <w:p>
            <w:r>
              <w:t>Shipment MULTIMODAL</w:t>
            </w:r>
          </w:p>
        </w:tc>
        <w:tc>
          <w:tcPr>
            <w:tcW w:type="dxa" w:w="2160"/>
          </w:tcPr>
          <w:p>
            <w:r>
              <w:t>ALREADY HANDED OVER</w:t>
            </w:r>
          </w:p>
        </w:tc>
        <w:tc>
          <w:tcPr>
            <w:tcW w:type="dxa" w:w="2160"/>
          </w:tcPr>
          <w:p>
            <w:r>
              <w:t>Giữ yêu cầu đã bàn giao 13/10, kiểm tra phương thức Leg riêng.</w:t>
            </w:r>
          </w:p>
        </w:tc>
      </w:tr>
      <w:tr>
        <w:tc>
          <w:tcPr>
            <w:tcW w:type="dxa" w:w="2160"/>
          </w:tcPr>
          <w:p>
            <w:r>
              <w:t>RATE-PARTNER-01</w:t>
            </w:r>
          </w:p>
        </w:tc>
        <w:tc>
          <w:tcPr>
            <w:tcW w:type="dxa" w:w="2160"/>
          </w:tcPr>
          <w:p>
            <w:r>
              <w:t>BUY Vendor / SELL Customer</w:t>
            </w:r>
          </w:p>
        </w:tc>
        <w:tc>
          <w:tcPr>
            <w:tcW w:type="dxa" w:w="2160"/>
          </w:tcPr>
          <w:p>
            <w:r>
              <w:t>ALREADY HANDED OVER</w:t>
            </w:r>
          </w:p>
        </w:tc>
        <w:tc>
          <w:tcPr>
            <w:tcW w:type="dxa" w:w="2160"/>
          </w:tcPr>
          <w:p>
            <w:r>
              <w:t>Giữ yêu cầu đã bàn giao 13/10; bảng giá chung có thể để trống đối tác.</w:t>
            </w:r>
          </w:p>
        </w:tc>
      </w:tr>
      <w:tr>
        <w:tc>
          <w:tcPr>
            <w:tcW w:type="dxa" w:w="2160"/>
          </w:tcPr>
          <w:p>
            <w:r>
              <w:t>PARTNER-ROLE-01</w:t>
            </w:r>
          </w:p>
        </w:tc>
        <w:tc>
          <w:tcPr>
            <w:tcW w:type="dxa" w:w="2160"/>
          </w:tcPr>
          <w:p>
            <w:r>
              <w:t>Rà soát vai trò đối tác</w:t>
            </w:r>
          </w:p>
        </w:tc>
        <w:tc>
          <w:tcPr>
            <w:tcW w:type="dxa" w:w="2160"/>
          </w:tcPr>
          <w:p>
            <w:r>
              <w:t>REVIEW ONLY</w:t>
            </w:r>
          </w:p>
        </w:tc>
        <w:tc>
          <w:tcPr>
            <w:tcW w:type="dxa" w:w="2160"/>
          </w:tcPr>
          <w:p>
            <w:r>
              <w:t>Không xóa/gộp role hoặc đổi schema khi chưa có quyết định mới.</w:t>
            </w:r>
          </w:p>
        </w:tc>
      </w:tr>
      <w:tr>
        <w:tc>
          <w:tcPr>
            <w:tcW w:type="dxa" w:w="2160"/>
          </w:tcPr>
          <w:p>
            <w:r>
              <w:t>COST-LEG-01 v1.1</w:t>
            </w:r>
          </w:p>
        </w:tc>
        <w:tc>
          <w:tcPr>
            <w:tcW w:type="dxa" w:w="2160"/>
          </w:tcPr>
          <w:p>
            <w:r>
              <w:t>Chi phí và áp dụng giá mua theo Chặng</w:t>
            </w:r>
          </w:p>
        </w:tc>
        <w:tc>
          <w:tcPr>
            <w:tcW w:type="dxa" w:w="2160"/>
          </w:tcPr>
          <w:p>
            <w:r>
              <w:t>PREVIOUS BASELINE</w:t>
            </w:r>
          </w:p>
        </w:tc>
        <w:tc>
          <w:tcPr>
            <w:tcW w:type="dxa" w:w="2160"/>
          </w:tcPr>
          <w:p>
            <w:r>
              <w:t>Đã bàn giao riêng; không thay thế, không tạo Rating Engine thứ hai.</w:t>
            </w:r>
          </w:p>
        </w:tc>
      </w:tr>
    </w:tbl>
    <w:p>
      <w:r>
        <w:t>Quyết định PO khóa: Một bảng giá chỉ chọn MỘT hình thức khai báo — CƠ BẢN hoặc NÂNG CAO. Không cho phép lưu cả hai cùng một bảng giá. Hai tab không phải BUY/SELL; BUY/SELL là chiều giá độc lập.</w:t>
      </w:r>
    </w:p>
    <w:p>
      <w:r>
        <w:t>Đặc tả này ưu tiên các quyết định PO trong hội thoại và ảnh UAT; chưa xác nhận trạng thái code/API hiện tại. DEV phải đối chiếu AS-IS và báo các xung đột có bằng chứng trước khi sửa.</w:t>
      </w:r>
    </w:p>
    <w:p>
      <w:pPr>
        <w:pStyle w:val="Heading1"/>
      </w:pPr>
      <w:r>
        <w:t>2. UI TO-BE: Tạo / Chỉnh sửa bảng giá</w:t>
      </w:r>
    </w:p>
    <w:p>
      <w:r>
        <w:t>Giữ nguyên thông tin chung phía trên: Mã, Tên, Loại giá BUY/SELL, Tiền tệ, Tuyến, Nhà cung cấp/Khách hàng, Hãng vận chuyển nếu có, VAT, ngày hiệu lực, mô tả, ghi chú. Dưới thông tin chung đặt 2 tab: “Bảng giá cơ bản” và “Bảng giá nâng cao”.</w:t>
      </w:r>
    </w:p>
    <w:p>
      <w:r>
        <w:t>Tab Cơ bản: chuyển biểu mẫu Thêm quy tắc đang nằm trong Chi tiết bảng giá vào đây; cho phép thêm/sửa/xóa nhiều quy tắc trong bản nháp. Các trường: mã, tên, cách tính, số tiền/đơn giá, tiền tệ, loại dịch vụ, mã loại hàng, mã phương thức và các trường hiện hữu có liên quan. Không tự ý xóa các trường hiện hữu.</w:t>
      </w:r>
    </w:p>
    <w:p>
      <w:r>
        <w:t>Tab Nâng cao: di chuyển nguyên trạng giao diện ma trận khung trọng lượng và nhóm hàng (Air/Sea tùy khả năng hiện có) sang tab. Không thay đổi khung, công thức, thứ tự áp dụng, điều kiện giá đã được triển khai.</w:t>
      </w:r>
    </w:p>
    <w:p>
      <w:r>
        <w:t>Đề xuất UX: dùng tab để lựa chọn một mode, hiển thị chỉ một nội dung. Khi đổi tab nếu mode cũ đã có dữ liệu chưa lưu, yêu cầu xác nhận và giải thích hệ quả. Hủy thì giữ nguyên. Không âm thầm xóa dữ liệu.</w:t>
      </w:r>
    </w:p>
    <w:p>
      <w:pPr>
        <w:pStyle w:val="Heading1"/>
      </w:pPr>
      <w:r>
        <w:t>3. RATE-UI-01 — Tuyến vận chuyển</w:t>
      </w:r>
    </w:p>
    <w:p>
      <w:r>
        <w:t>Trường Tuyến phải là bộ chọn tìm kiếm dựa trên danh mục Tuyến vận chuyển hiện có. Hiển thị mã tuyến + điểm đi/điểm đến nếu dữ liệu hỗ trợ; lưu khóa tham chiếu ổn định thay vì chỉ chuỗi tự nhập. Chỉ cho phép tuyến phù hợp tenant, trạng thái và quyền. Xử lý tuyến cũ không còn hoạt động bằng hiển thị giá trị đã lưu và cảnh báo khi chỉnh sửa. Validate tại API.</w:t>
      </w:r>
    </w:p>
    <w:p>
      <w:pPr>
        <w:pStyle w:val="Heading1"/>
      </w:pPr>
      <w:r>
        <w:t>4. RATE-UI-02 — Tiền tệ</w:t>
      </w:r>
    </w:p>
    <w:p>
      <w:r>
        <w:t>Trường Tiền tệ phải chọn từ danh mục Tiền tệ &amp; Tỷ giá. Có thể mặc định VND theo cấu hình nhưng không hard-code chỉ VND. Giữ nguyên tiền tệ bảng giá đã lưu; không tự quy đổi số tiền khi đổi tiền tệ nếu chưa có quy trình rõ ràng. Validate code và trạng thái tại API. Không thay đổi FX Policy, nguồn tỷ giá hoặc Rating Engine.</w:t>
      </w:r>
    </w:p>
    <w:p>
      <w:pPr>
        <w:pStyle w:val="Heading1"/>
      </w:pPr>
      <w:r>
        <w:t>5. RATE-UI-03 — Quy tắc vận hành</w:t>
      </w:r>
    </w:p>
    <w:p>
      <w:r>
        <w:t>BR-01: Mỗi bảng giá có duy nhất một declaration_mode: BASIC hoặc ADVANCED. Đây là mô hình nghiệp vụ; tên trường DB do DEV đề xuất theo schema hiện có.</w:t>
      </w:r>
    </w:p>
    <w:p>
      <w:r>
        <w:t>BR-02: BASIC lưu các pricing rules; ADVANCED lưu ma trận/khung giá. Không phát hành nếu không có giá hợp lệ theo mode đang chọn.</w:t>
      </w:r>
    </w:p>
    <w:p>
      <w:r>
        <w:t>BR-03: Cấm payload chứa đồng thời dữ liệu giá hiệu lực của hai mode trong cùng một bảng giá. Kiểm tra ở backend, không chỉ UI.</w:t>
      </w:r>
    </w:p>
    <w:p>
      <w:r>
        <w:t>BR-04: Màn Chi tiết bảng giá bỏ hoàn toàn form/nút “Thêm quy tắc”; chỉ hiển thị giá và quy tắc ở chế độ xem, cùng thao tác quản lý phiên bản/phát hành đã có.</w:t>
      </w:r>
    </w:p>
    <w:p>
      <w:r>
        <w:t>BR-05: Nháp được sửa thông qua màn Tạo/Chỉnh sửa bảng giá; phiên bản đã phát hành bất biến, thay đổi bằng phiên bản mới theo chính sách baseline.</w:t>
      </w:r>
    </w:p>
    <w:p>
      <w:r>
        <w:t>BR-06: Không tự động chuyển đổi dữ liệu quy tắc thành ma trận hoặc ngược lại. Nếu có yêu cầu đổi mode của bản đã lưu, chỉ thực hiện trên nháp theo chính sách được kiểm soát.</w:t>
      </w:r>
    </w:p>
    <w:p>
      <w:r>
        <w:t>BR-07: Giữ nguyên Rate Card ID, version ID, status, effective date, BUY/SELL, Vendor/Customer, VAT, route, currency và traceability.</w:t>
      </w:r>
    </w:p>
    <w:p>
      <w:r>
        <w:t>BR-08: Khi dữ liệu cũ có đồng thời rules và matrix, DEV phải thống kê, báo PO phương án xử lý; không xóa/migrate ngầm.</w:t>
      </w:r>
    </w:p>
    <w:p>
      <w:r>
        <w:t>BR-09: Không tạo Rating Engine mới, không thay đổi công thức hiện có. Chỉ điều chỉnh UI và mapping/validation cần thiết.</w:t>
      </w:r>
    </w:p>
    <w:p>
      <w:r>
        <w:t>BR-10: Phụ phí là thực thể độc lập theo baseline, không ép chuyển thành rule cơ bản; việc tách mode không làm mất quản lý phụ phí.</w:t>
      </w:r>
    </w:p>
    <w:p>
      <w:pPr>
        <w:pStyle w:val="Heading1"/>
      </w:pPr>
      <w:r>
        <w:t>6. RATE-RULE-UX-01 — Làm rõ Cách tính / Số tiền</w:t>
      </w:r>
    </w:p>
    <w:p>
      <w:r>
        <w:t>Áp dụng như cải tiến UX phụ thuộc RATE-UI-03, không mở rộng nghiệp vụ: nhãn “Số tiền cố định” khi Cách tính=Cố định; nhãn “Đơn giá” và đơn vị tính khi theo đơn vị. Các cách tính thực tế phải lấy từ cấu hình/Engine hiện có; không tạo thêm cách tính từ hình minh họa. Hiển thị rõ giá trị, đơn vị và điều kiện áp dụng; kiểm tra đầu vào theo rule hiện hành.</w:t>
      </w:r>
    </w:p>
    <w:p>
      <w:pPr>
        <w:pStyle w:val="Heading1"/>
      </w:pPr>
      <w:r>
        <w:t>7. Chi tiết bảng giá / vòng đời phiên bản</w:t>
      </w:r>
    </w:p>
    <w:p>
      <w:r>
        <w:t>Trang Chi tiết chỉ xem: thông tin chung, mode khai báo, quy tắc hoặc ma trận đã lưu, VAT, ngày hiệu lực, trạng thái và lịch sử phiên bản. Không cho thêm/sửa/xóa quy tắc trực tiếp tại đây. Nút “Chỉnh sửa bảng giá” chỉ dành cho nháp và quyền hợp lệ, mở đúng tab đã lưu. Phát hành thực hiện sau khi validate mode và nội dung; các phiên bản đã phát hành không bị thay đổi bởi việc chuyển UI.</w:t>
      </w:r>
    </w:p>
    <w:p>
      <w:pPr>
        <w:pStyle w:val="Heading1"/>
      </w:pPr>
      <w:r>
        <w:t>8. Dữ liệu, API và chuyển đổi tương thích</w:t>
      </w:r>
    </w:p>
    <w:p>
      <w:r>
        <w:t>DEV xác định nơi lưu declaration_mode trong mô hình hiện có, không tạo bảng mới nếu không cần. Phải duy trì backward compatibility cho dữ liệu/endpoint đang dùng.</w:t>
      </w:r>
    </w:p>
    <w:p>
      <w:r>
        <w:t>Với bản ghi lịch sử chỉ có rules: map BASIC; chỉ có matrix: map ADVANCED. Với bản ghi hỗn hợp hoặc không có dữ liệu: thống kê, không tự suy đoán hoặc xóa.</w:t>
      </w:r>
    </w:p>
    <w:p>
      <w:r>
        <w:t>API Create/Update/Publish: validate mode, dữ liệu giá tương ứng, tham chiếu route/currency, BUY/SELL đối tác, quyền và trạng thái phiên bản. Cần idempotency và audit phù hợp baseline.</w:t>
      </w:r>
    </w:p>
    <w:p>
      <w:r>
        <w:t>Không ảnh hưởng rating context Bill/Leg, Expected Cost/Revenue, FX, AP/AR và financial close; DEV thực hiện regression.</w:t>
      </w:r>
    </w:p>
    <w:p>
      <w:r>
        <w:t>Ảnh giao diện PO duyệt là tham chiếu bố cục; không suy diễn ví dụ mã, số tiền, % phụ phí trong mockup thành quy tắc nghiệp vụ.</w:t>
      </w:r>
    </w:p>
    <w:p>
      <w:pPr>
        <w:pStyle w:val="Heading1"/>
      </w:pPr>
      <w:r>
        <w:t>9. Điều kiện nghiệm thu và bằng chứng</w:t>
      </w:r>
    </w:p>
    <w:p>
      <w:r>
        <w:t>Bộ ma trận đi kèm có 33 trường hợp nghiệm thu/kiểm thử. DEV điền trạng thái, link PR/commit, dữ liệu mẫu và bằng chứng UAT; không mặc định PASS. Các AC hồi quy bao gồm cả gói 13/10 và COST-LEG-01 v1.1 để tránh mất chức năng.</w:t>
      </w:r>
    </w:p>
    <w:p>
      <w:pPr>
        <w:pStyle w:val="Heading1"/>
      </w:pPr>
      <w:r>
        <w:t>10. Ranh giới thay đổi / ngoại lệ</w:t>
      </w:r>
    </w:p>
    <w:p>
      <w:r>
        <w:t>Các issue UX-SHIPMENT-01, SHIPMENT-MODE-01, RATE-PARTNER-01 đã bàn giao trong LCMS-CR-20261013-02; PARTNER-ROLE-01 chỉ rà soát. Gói này không yêu cầu coding lại chúng. COST-LEG-01 v1.1 là baseline độc lập và không bị thay thế.</w:t>
      </w:r>
    </w:p>
    <w:p>
      <w:r>
        <w:t>Nếu phát hiện dữ liệu bảng giá legacy chứa đồng thời BASIC và ADVANCED, hoặc cần chuyển đổi cấu trúc không thể bảo toàn, DEV dừng migration liên quan và báo PO bằng thống kê + phương án tác động. Đây là ngoại lệ cần quyết định, không tự xử lý.</w:t>
      </w:r>
    </w:p>
    <w:p>
      <w:pPr>
        <w:pStyle w:val="Heading1"/>
      </w:pPr>
      <w:r>
        <w:t>11. Hướng dẫn bàn giao</w:t>
      </w:r>
    </w:p>
    <w:p>
      <w:r>
        <w:t>Thực hiện: (1) đối chiếu AS-IS, (2) sửa dropdown tuyến/tiền tệ, (3) tái cấu trúc màn Tạo/Chỉnh sửa, (4) làm màn Chi tiết read-only, (5) validate backend và dữ liệu cũ, (6) regression và UAT. Gửi bằng chứng, commit/PR và danh sách AC PASS/FAIL/BLOCKED.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LCMS • BA DELTA 2026-10-14 • Internal DEV handover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BA CHANGE REQUEST  |  DEV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337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33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