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LCMS — ĐIỀU CHỈNH BẢNG GIÁ ĐA TUYẾN, NẤC TRỌNG LƯỢNG &amp; TƯƠNG PHẢN UI</w:t>
      </w:r>
    </w:p>
    <w:p>
      <w:r>
        <w:t>Mã: LCMS-RATE-CR-20261014-02  |  Phiên bản: v1.1  |  Ngày: 14/10/2026  |  Trạng thái: PO APPROVED — DEV IMPLEMENTATION</w:t>
      </w:r>
    </w:p>
    <w:p>
      <w:pPr>
        <w:pStyle w:val="Heading1"/>
      </w:pPr>
      <w:r>
        <w:t>1. Phạm vi và quyết định đã khóa</w:t>
      </w:r>
    </w:p>
    <w:p>
      <w:pPr>
        <w:pStyle w:val="ListBullet"/>
      </w:pPr>
      <w:r>
        <w:t>Một bảng giá chỉ chọn một hình thức khai báo: Cơ bản hoặc Nâng cao. Không kết hợp hai hình thức trong cùng bảng giá.</w:t>
      </w:r>
    </w:p>
    <w:p>
      <w:pPr>
        <w:pStyle w:val="ListBullet"/>
      </w:pPr>
      <w:r>
        <w:t>Một bảng giá được phép có nhiều tuyến. Tuyến và Carrier không còn là điều kiện cố định tại header; chuyển xuống quy tắc (Cơ bản) hoặc nhóm ma trận (Nâng cao).</w:t>
      </w:r>
    </w:p>
    <w:p>
      <w:pPr>
        <w:pStyle w:val="ListBullet"/>
      </w:pPr>
      <w:r>
        <w:t>Giữ tại header: mã/tên, BUY/SELL, Vendor hoặc Customer (có thể trống đối với bảng giá chung hợp lệ), tiền tệ, VAT cố định, hiệu lực, mô tả, ghi chú phiên bản.</w:t>
      </w:r>
    </w:p>
    <w:p>
      <w:pPr>
        <w:pStyle w:val="ListBullet"/>
      </w:pPr>
      <w:r>
        <w:t>Bảng giá cơ bản: mỗi quy tắc được phép có loại trọng lượng, nấc từ/đến, đơn vị, công thức và đơn giá riêng.</w:t>
      </w:r>
    </w:p>
    <w:p>
      <w:pPr>
        <w:pStyle w:val="ListBullet"/>
      </w:pPr>
      <w:r>
        <w:t>Dùng lại Rating Engine; mở rộng chọn quy tắc theo ngữ cảnh Bill/Chặng, không tạo engine thứ hai.</w:t>
      </w:r>
    </w:p>
    <w:p>
      <w:pPr>
        <w:pStyle w:val="ListBullet"/>
      </w:pPr>
      <w:r>
        <w:t>Bổ sung cải thiện tương phản giữa các vùng UI, không thay đổi cấu trúc sidebar đã duyệt.</w:t>
      </w:r>
    </w:p>
    <w:p>
      <w:pPr>
        <w:pStyle w:val="Heading1"/>
      </w:pPr>
      <w:r>
        <w:t>2. Giao diện Tạo/Sửa bảng giá</w:t>
      </w:r>
    </w:p>
    <w:p>
      <w:pPr>
        <w:pStyle w:val="ListBullet"/>
      </w:pPr>
      <w:r>
        <w:t>Phần A — Thông tin chung: không hiển thị Tuyến và Carrier. Chỉ một trường Tiền tệ ở header, quy tắc kế thừa tiền tệ header; không cho ghi đè từng dòng.</w:t>
      </w:r>
    </w:p>
    <w:p>
      <w:pPr>
        <w:pStyle w:val="ListBullet"/>
      </w:pPr>
      <w:r>
        <w:t>Phần B — Hình thức khai báo: hai lựa chọn Cơ bản / Nâng cao, loại trừ lẫn nhau. Khi đổi hình thức nếu đã có dữ liệu phải cảnh báo, yêu cầu xác nhận; không tự xóa dữ liệu đã lưu.</w:t>
      </w:r>
    </w:p>
    <w:p>
      <w:pPr>
        <w:pStyle w:val="ListBullet"/>
      </w:pPr>
      <w:r>
        <w:t>Phần C1 — Cơ bản: danh sách quy tắc gồm mã, tên, tuyến, carrier (tùy chọn), phương thức, dịch vụ, loại hàng, loại trọng lượng, trọng lượng từ/đến, đơn vị, cách tính, giá trị và thao tác.</w:t>
      </w:r>
    </w:p>
    <w:p>
      <w:pPr>
        <w:pStyle w:val="ListBullet"/>
      </w:pPr>
      <w:r>
        <w:t>Phần C2 — Nâng cao: nhiều nhóm ma trận trong cùng bảng giá, mỗi nhóm có tuyến, carrier, phương thức và ma trận khung trọng lượng × nhóm hàng; có thêm/sao chép/xóa nhóm theo quyền.</w:t>
      </w:r>
    </w:p>
    <w:p>
      <w:pPr>
        <w:pStyle w:val="ListBullet"/>
      </w:pPr>
      <w:r>
        <w:t>Chi tiết bảng giá: xem giá và phiên bản ở chế độ đọc; chỉnh sửa bản Nháp qua màn khai báo; phiên bản đã phát hành bất biến.</w:t>
      </w:r>
    </w:p>
    <w:p>
      <w:pPr>
        <w:pStyle w:val="Heading1"/>
      </w:pPr>
      <w:r>
        <w:t>3. Business Rules và validation</w:t>
      </w:r>
    </w:p>
    <w:p>
      <w:pPr>
        <w:pStyle w:val="ListBullet"/>
      </w:pPr>
      <w:r>
        <w:t>BR-01: Tuyến phải tham chiếu mã tuyến chuẩn từ danh mục; tuyến có hướng (SGN→HAN khác HAN→SGN). Nếu áp dụng mọi tuyến phải có lựa chọn ANY được cấu hình rõ ràng, không suy ra từ trường rỗng.</w:t>
      </w:r>
    </w:p>
    <w:p>
      <w:pPr>
        <w:pStyle w:val="ListBullet"/>
      </w:pPr>
      <w:r>
        <w:t>BR-02: Carrier ở cấp rule/nhóm ma trận, không đồng nhất với Vendor. Carrier rỗng chỉ có nghĩa không hạn chế carrier nếu quy tắc cho phép.</w:t>
      </w:r>
    </w:p>
    <w:p>
      <w:pPr>
        <w:pStyle w:val="ListBullet"/>
      </w:pPr>
      <w:r>
        <w:t>BR-03: Nấc trọng lượng lưu dưới dạng [min,max) theo đơn vị chuẩn, min≥0, max&gt;min; max rỗng = vô hạn. Hiển thị ví dụ &lt;5, 5–&lt;11, 11–&lt;21, ≥21 kg; không tự quy đổi 10 thành 11 với cân nặng thập phân.</w:t>
      </w:r>
    </w:p>
    <w:p>
      <w:pPr>
        <w:pStyle w:val="ListBullet"/>
      </w:pPr>
      <w:r>
        <w:t>BR-04: Weight basis có thể là Gross/Chargeable hoặc loại khác theo Rating Context; phải xác định nguồn và đơn vị của trọng lượng sử dụng.</w:t>
      </w:r>
    </w:p>
    <w:p>
      <w:pPr>
        <w:pStyle w:val="ListBullet"/>
      </w:pPr>
      <w:r>
        <w:t>BR-05: Nấc trọng lượng là điều kiện chọn quy tắc; không đồng nghĩa tính lũy tiến. Công thức cố định, đơn giá×trọng lượng, bậc bước và các công thức hiện hữu phải phân biệt.</w:t>
      </w:r>
    </w:p>
    <w:p>
      <w:pPr>
        <w:pStyle w:val="ListBullet"/>
      </w:pPr>
      <w:r>
        <w:t>BR-06: Kiểm tra trùng/xung đột theo tập điều kiện: tuyến, carrier, phương thức, dịch vụ, loại hàng, weight basis, nấc trọng lượng, khoản mục kinh tế và hiệu lực. Không chặn các quy tắc khác khoản mục được phép cộng hợp lệ.</w:t>
      </w:r>
    </w:p>
    <w:p>
      <w:pPr>
        <w:pStyle w:val="ListBullet"/>
      </w:pPr>
      <w:r>
        <w:t>BR-07: Nhiều rule cùng match một khoản mục không được tự chọn tùy tiện hoặc cộng trùng; dùng cơ chế ưu tiên đã có nếu được xác nhận, nếu không báo xung đột và chặn phát hành.</w:t>
      </w:r>
    </w:p>
    <w:p>
      <w:pPr>
        <w:pStyle w:val="ListBullet"/>
      </w:pPr>
      <w:r>
        <w:t>BR-08: Tiền tệ duy nhất tại header; VAT cố định tại header theo chính sách hiện hành; không thêm VAT engine.</w:t>
      </w:r>
    </w:p>
    <w:p>
      <w:pPr>
        <w:pStyle w:val="ListBullet"/>
      </w:pPr>
      <w:r>
        <w:t>BR-09: Lưu snapshot rate card/version/rule, tuyến, carrier, weight basis, weight, công thức và đầu vào khi Rating. Rerating tạo phiên bản mới, không ghi đè Expected/Actual đã ghi nhận.</w:t>
      </w:r>
    </w:p>
    <w:p>
      <w:pPr>
        <w:pStyle w:val="ListBullet"/>
      </w:pPr>
      <w:r>
        <w:t>BR-10: Với Rating theo Chặng, lấy tuyến/phương thức/trọng lượng hợp lệ của Chặng; theo Bill lấy ngữ cảnh đúng phạm vi dịch vụ, không dùng tuyến Bill cho mọi Chặng.</w:t>
      </w:r>
    </w:p>
    <w:p>
      <w:pPr>
        <w:pStyle w:val="ListBullet"/>
      </w:pPr>
      <w:r>
        <w:t>BR-11: Giá mua theo Chặng có thể phân bổ về nhiều Bill; conservation, idempotency, không tự sinh Actual/AP/Payment.</w:t>
      </w:r>
    </w:p>
    <w:p>
      <w:pPr>
        <w:pStyle w:val="Heading1"/>
      </w:pPr>
      <w:r>
        <w:t>4. Rating Engine, API, DB — yêu cầu DEV rà soát và mở rộng</w:t>
      </w:r>
    </w:p>
    <w:p>
      <w:pPr>
        <w:pStyle w:val="ListBullet"/>
      </w:pPr>
      <w:r>
        <w:t>API tìm bảng giá lọc header theo BUY/SELL, partner, trạng thái phiên bản, ngày hiệu lực; tìm quy tắc theo tuyến/carrier/phương thức/dịch vụ/loại hàng/weight basis/nấc.</w:t>
      </w:r>
    </w:p>
    <w:p>
      <w:pPr>
        <w:pStyle w:val="ListBullet"/>
      </w:pPr>
      <w:r>
        <w:t>Data model: RateCard header → Version → BasicRule hoặc AdvancedMatrixGroup → MatrixCells; RouteID/CarrierID đặt đúng cấp; không sao chép dữ liệu tiền tệ không nhất quán.</w:t>
      </w:r>
    </w:p>
    <w:p>
      <w:pPr>
        <w:pStyle w:val="ListBullet"/>
      </w:pPr>
      <w:r>
        <w:t>Kiểm tra dữ liệu lịch sử có route/carrier ở header: lập migration/backfill sang rule/group; không tự xóa hoặc đổi nghĩa dữ liệu, ghi log và báo ngoại lệ.</w:t>
      </w:r>
    </w:p>
    <w:p>
      <w:pPr>
        <w:pStyle w:val="ListBullet"/>
      </w:pPr>
      <w:r>
        <w:t>Không thay đổi Rate Card version đã phát hành; nếu cần chuyển dữ liệu cũ, giữ bản gốc và migration trace; không thay đổi Rating history.</w:t>
      </w:r>
    </w:p>
    <w:p>
      <w:pPr>
        <w:pStyle w:val="ListBullet"/>
      </w:pPr>
      <w:r>
        <w:t>Chỉ triển khai schema/API sau khi DEV kiểm tra mapping AS-IS và báo GAP; không tự viết lại Pricing Engine.</w:t>
      </w:r>
    </w:p>
    <w:p>
      <w:pPr>
        <w:pStyle w:val="Heading1"/>
      </w:pPr>
      <w:r>
        <w:t>5. Yêu cầu tăng độ tương phản UI (UI-CONTRAST-01)</w:t>
      </w:r>
    </w:p>
    <w:p>
      <w:pPr>
        <w:pStyle w:val="ListBullet"/>
      </w:pPr>
      <w:r>
        <w:t>Tăng độ tương phản giữa nền trang, khối Thông tin chung, khối Hình thức khai báo và vùng Quy tắc/ma trận bằng viền, nền trung tính nhẹ và khoảng cách rõ ràng; giữ nhận diện LCMS.</w:t>
      </w:r>
    </w:p>
    <w:p>
      <w:pPr>
        <w:pStyle w:val="ListBullet"/>
      </w:pPr>
      <w:r>
        <w:t>Chữ thông thường và placeholder phải dễ đọc; mục tiêu WCAG AA: tỷ lệ tương phản chữ thường tối thiểu 4.5:1, chữ lớn 3:1; viền/biểu tượng điều khiển thiết yếu tối thiểu 3:1 với nền liền kề.</w:t>
      </w:r>
    </w:p>
    <w:p>
      <w:pPr>
        <w:pStyle w:val="ListBullet"/>
      </w:pPr>
      <w:r>
        <w:t>Header cột bảng, hàng xen kẽ, đường phân cách và trạng thái focus/hover/disabled phải dễ phân biệt. Không chỉ dựa vào màu để biểu đạt lỗi, bắt buộc, trạng thái.</w:t>
      </w:r>
    </w:p>
    <w:p>
      <w:pPr>
        <w:pStyle w:val="ListBullet"/>
      </w:pPr>
      <w:r>
        <w:t>Giữ icon SVG, hệ phân cấp, kích thước và phong cách UI đã duyệt; không thay bằng emoji; kiểm tra ở màn 1366×768 và 1920×1080, mức zoom 100% và 125%.</w:t>
      </w:r>
    </w:p>
    <w:p>
      <w:pPr>
        <w:pStyle w:val="ListBullet"/>
      </w:pPr>
      <w:r>
        <w:t>Không áp dụng thay đổi theme toàn hệ thống ngoài phạm vi nếu chưa được PO phê duyệt; DEV cung cấp ảnh before/after để PO duyệt.</w:t>
      </w:r>
    </w:p>
    <w:p>
      <w:pPr>
        <w:pStyle w:val="Heading1"/>
      </w:pPr>
      <w:r>
        <w:t>6. Điều kiện nghiệm thu và bàn giao</w:t>
      </w:r>
    </w:p>
    <w:p>
      <w:pPr>
        <w:pStyle w:val="ListBullet"/>
      </w:pPr>
      <w:r>
        <w:t>Phải chứng minh: một bảng giá có ≥3 tuyến, mỗi tuyến có giá khác nhau; Bill/Chặng chỉ match đúng tuyến và điều kiện; giá khác khoản mục không bị mất.</w:t>
      </w:r>
    </w:p>
    <w:p>
      <w:pPr>
        <w:pStyle w:val="ListBullet"/>
      </w:pPr>
      <w:r>
        <w:t>Kiểm thử các biên trọng lượng 4.999, 5, 10.999, 11, 20.999, 21 kg; thiếu weight basis; khoảng trùng và khoảng hở.</w:t>
      </w:r>
    </w:p>
    <w:p>
      <w:pPr>
        <w:pStyle w:val="ListBullet"/>
      </w:pPr>
      <w:r>
        <w:t>Kiểm thử bảng nâng cao ≥2 ma trận theo tuyến; carrier khác nhau; phiên bản phát hành bất biến; migration dữ liệu lịch sử.</w:t>
      </w:r>
    </w:p>
    <w:p>
      <w:pPr>
        <w:pStyle w:val="ListBullet"/>
      </w:pPr>
      <w:r>
        <w:t>Đối chiếu dữ liệu thật trên môi trường test, ảnh UI before/after và evidence từng AC; không đánh dấu PASS trước khi test.</w:t>
      </w:r>
    </w:p>
    <w:p>
      <w:pPr>
        <w:pStyle w:val="Heading1"/>
      </w:pPr>
      <w:r>
        <w:t>7. Phạm vi không thay đổi</w:t>
      </w:r>
    </w:p>
    <w:p>
      <w:r>
        <w:t>Không triển khai Rating Engine thứ hai; không thay đổi nghiệp vụ BUY/SELL, AP/AR, Financial Close; không thay đổi cấu trúc sidebar; không tự chuyển đổi bảng giá Cơ bản ↔ Nâng cao đã phát hành. Các issue đã bàn giao trước đó giữ hiệu lực và chỉ kiểm thử hồi quy liên quan.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LCMS  |  BA CHANGE REQUEST  |  DEV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