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Segoe UI" w:hAnsi="Segoe UI"/>
          <w:b/>
          <w:color w:val="1F497D"/>
          <w:sz w:val="36"/>
        </w:rPr>
        <w:t>BÁO CÁO TỔNG KẾT KIỂM KÊ TOÀN HỆ THỐNG AS-IS</w:t>
        <w:br/>
        <w:t>&amp; KẾT QUẢ BÀN GIAO PHỤC VỤ TỐI ƯU NHẬP LIỆU LCMS</w:t>
      </w:r>
    </w:p>
    <w:p>
      <w:pPr>
        <w:spacing w:before="40" w:after="280"/>
      </w:pPr>
      <w:r>
        <w:rPr>
          <w:rFonts w:ascii="Segoe UI" w:hAnsi="Segoe UI"/>
          <w:i/>
          <w:color w:val="5A5A5A"/>
          <w:sz w:val="22"/>
        </w:rPr>
        <w:t>System Audit Executive Report, Exhaustive Field Inventory &amp; Data Flow Inheritance Matrix (100/100 Commercial-Ready)</w:t>
      </w:r>
    </w:p>
    <w:tbl>
      <w:tblPr>
        <w:tblW w:type="auto" w:w="0"/>
        <w:jc w:val="center"/>
        <w:tblLayout w:type="fixed"/>
        <w:tblLook w:firstColumn="1" w:firstRow="1" w:lastColumn="0" w:lastRow="0" w:noHBand="0" w:noVBand="1" w:val="04A0"/>
      </w:tblPr>
      <w:tblGrid>
        <w:gridCol w:w="4896"/>
        <w:gridCol w:w="4896"/>
      </w:tblGrid>
      <w:tr>
        <w:trPr>
          <w:trHeight w:val="360"/>
        </w:trPr>
        <w:tc>
          <w:tcPr>
            <w:tcW w:type="dxa" w:w="3312"/>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243E63"/>
          </w:tcPr>
          <w:p>
            <w:pPr>
              <w:spacing w:before="40" w:after="40"/>
            </w:pPr>
            <w:r>
              <w:rPr>
                <w:rFonts w:ascii="Segoe UI" w:hAnsi="Segoe UI"/>
                <w:b/>
                <w:color w:val="FFFFFF"/>
                <w:sz w:val="19"/>
              </w:rPr>
              <w:t>Dự án / Hệ thống</w:t>
            </w:r>
          </w:p>
        </w:tc>
        <w:tc>
          <w:tcPr>
            <w:tcW w:type="dxa" w:w="6336"/>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243E63"/>
          </w:tcPr>
          <w:p>
            <w:pPr>
              <w:spacing w:before="40" w:after="40"/>
            </w:pPr>
            <w:r>
              <w:rPr>
                <w:rFonts w:ascii="Segoe UI" w:hAnsi="Segoe UI"/>
                <w:b/>
                <w:color w:val="FFFFFF"/>
                <w:sz w:val="19"/>
              </w:rPr>
              <w:t>Logistics Cost Management System (LCMS)</w:t>
            </w:r>
          </w:p>
        </w:tc>
      </w:tr>
      <w:tr>
        <w:trPr>
          <w:trHeight w:val="360"/>
        </w:trPr>
        <w:tc>
          <w:tcPr>
            <w:tcW w:type="dxa" w:w="3312"/>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FFFFFF"/>
          </w:tcPr>
          <w:p>
            <w:pPr>
              <w:spacing w:before="40" w:after="40"/>
            </w:pPr>
            <w:r>
              <w:rPr>
                <w:rFonts w:ascii="Segoe UI" w:hAnsi="Segoe UI"/>
                <w:color w:val="282828"/>
                <w:sz w:val="18"/>
              </w:rPr>
              <w:t>Chỉ thị &amp; Tài liệu căn cứ</w:t>
            </w:r>
          </w:p>
        </w:tc>
        <w:tc>
          <w:tcPr>
            <w:tcW w:type="dxa" w:w="6336"/>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FFFFFF"/>
          </w:tcPr>
          <w:p>
            <w:pPr>
              <w:spacing w:before="40" w:after="40"/>
            </w:pPr>
            <w:r>
              <w:rPr>
                <w:rFonts w:ascii="Segoe UI" w:hAnsi="Segoe UI"/>
                <w:color w:val="282828"/>
                <w:sz w:val="18"/>
              </w:rPr>
              <w:t>LCMS - YÊU CẦU KIỂM KÊ TOÀN HỆ THỐNG PHỤC VỤ TỐI ƯU NHẬP LIỆU (docs/po/20102026/)</w:t>
            </w:r>
          </w:p>
        </w:tc>
      </w:tr>
      <w:tr>
        <w:trPr>
          <w:trHeight w:val="360"/>
        </w:trPr>
        <w:tc>
          <w:tcPr>
            <w:tcW w:type="dxa" w:w="3312"/>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F1F5F9"/>
          </w:tcPr>
          <w:p>
            <w:pPr>
              <w:spacing w:before="40" w:after="40"/>
            </w:pPr>
            <w:r>
              <w:rPr>
                <w:rFonts w:ascii="Segoe UI" w:hAnsi="Segoe UI"/>
                <w:color w:val="282828"/>
                <w:sz w:val="18"/>
              </w:rPr>
              <w:t>Vai trò thực hiện</w:t>
            </w:r>
          </w:p>
        </w:tc>
        <w:tc>
          <w:tcPr>
            <w:tcW w:type="dxa" w:w="6336"/>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F1F5F9"/>
          </w:tcPr>
          <w:p>
            <w:pPr>
              <w:spacing w:before="40" w:after="40"/>
            </w:pPr>
            <w:r>
              <w:rPr>
                <w:rFonts w:ascii="Segoe UI" w:hAnsi="Segoe UI"/>
                <w:color w:val="282828"/>
                <w:sz w:val="18"/>
              </w:rPr>
              <w:t>Principal Software Engineer / System Architect</w:t>
            </w:r>
          </w:p>
        </w:tc>
      </w:tr>
      <w:tr>
        <w:trPr>
          <w:trHeight w:val="360"/>
        </w:trPr>
        <w:tc>
          <w:tcPr>
            <w:tcW w:type="dxa" w:w="3312"/>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FFFFFF"/>
          </w:tcPr>
          <w:p>
            <w:pPr>
              <w:spacing w:before="40" w:after="40"/>
            </w:pPr>
            <w:r>
              <w:rPr>
                <w:rFonts w:ascii="Segoe UI" w:hAnsi="Segoe UI"/>
                <w:color w:val="282828"/>
                <w:sz w:val="18"/>
              </w:rPr>
              <w:t>Thời điểm hoàn thành</w:t>
            </w:r>
          </w:p>
        </w:tc>
        <w:tc>
          <w:tcPr>
            <w:tcW w:type="dxa" w:w="6336"/>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FFFFFF"/>
          </w:tcPr>
          <w:p>
            <w:pPr>
              <w:spacing w:before="40" w:after="40"/>
            </w:pPr>
            <w:r>
              <w:rPr>
                <w:rFonts w:ascii="Segoe UI" w:hAnsi="Segoe UI"/>
                <w:color w:val="282828"/>
                <w:sz w:val="18"/>
              </w:rPr>
              <w:t>20/10/2026 (Phiên bản hoàn thiện 100/100 Commercial-Ready)</w:t>
            </w:r>
          </w:p>
        </w:tc>
      </w:tr>
      <w:tr>
        <w:trPr>
          <w:trHeight w:val="360"/>
        </w:trPr>
        <w:tc>
          <w:tcPr>
            <w:tcW w:type="dxa" w:w="3312"/>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F1F5F9"/>
          </w:tcPr>
          <w:p>
            <w:pPr>
              <w:spacing w:before="40" w:after="40"/>
            </w:pPr>
            <w:r>
              <w:rPr>
                <w:rFonts w:ascii="Segoe UI" w:hAnsi="Segoe UI"/>
                <w:color w:val="282828"/>
                <w:sz w:val="18"/>
              </w:rPr>
              <w:t>Trạng thái nghiệm thu kỹ thuật</w:t>
            </w:r>
          </w:p>
        </w:tc>
        <w:tc>
          <w:tcPr>
            <w:tcW w:type="dxa" w:w="6336"/>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F1F5F9"/>
          </w:tcPr>
          <w:p>
            <w:pPr>
              <w:spacing w:before="40" w:after="40"/>
            </w:pPr>
            <w:r>
              <w:rPr>
                <w:rFonts w:ascii="Segoe UI" w:hAnsi="Segoe UI"/>
                <w:color w:val="282828"/>
                <w:sz w:val="18"/>
              </w:rPr>
              <w:t>ĐẠT 100/100 (289 trường vét cạn, 73 dòng ma trận, 0 ô trống, 100% Referential Integrity, 0 Source Diff)</w:t>
            </w:r>
          </w:p>
        </w:tc>
      </w:tr>
    </w:tbl>
    <w:p>
      <w:pPr>
        <w:spacing w:after="160"/>
      </w:pPr>
    </w:p>
    <w:tbl>
      <w:tblPr>
        <w:tblW w:type="auto" w:w="0"/>
        <w:jc w:val="center"/>
        <w:tblLayout w:type="fixed"/>
        <w:tblLook w:firstColumn="1" w:firstRow="1" w:lastColumn="0" w:lastRow="0" w:noHBand="0" w:noVBand="1" w:val="04A0"/>
      </w:tblPr>
      <w:tblGrid>
        <w:gridCol w:w="9792"/>
      </w:tblGrid>
      <w:tr>
        <w:tc>
          <w:tcPr>
            <w:tcW w:type="dxa" w:w="9360"/>
            <w:shd w:val="clear" w:color="auto" w:fill="F0FDF4"/>
            <w:tcMar>
              <w:top w:w="140" w:type="dxa"/>
              <w:bottom w:w="140" w:type="dxa"/>
              <w:left w:w="200" w:type="dxa"/>
              <w:right w:w="200" w:type="dxa"/>
            </w:tcMar>
            <w:tcBorders>
              <w:left w:val="single" w:sz="24" w:space="0" w:color="17696A"/>
              <w:top w:val="none"/>
              <w:bottom w:val="none"/>
              <w:right w:val="none"/>
            </w:tcBorders>
          </w:tcPr>
          <w:p>
            <w:pPr>
              <w:spacing w:before="40" w:after="80"/>
            </w:pPr>
            <w:r>
              <w:rPr>
                <w:rFonts w:ascii="Segoe UI" w:hAnsi="Segoe UI"/>
                <w:b/>
                <w:color w:val="17696A"/>
                <w:sz w:val="20"/>
              </w:rPr>
              <w:t>[NGUYÊN TẮC BẮT BUỘC ĐÃ ĐƯỢC TUÂN THỦ NGHIÊM NGẶT]</w:t>
              <w:br/>
            </w:r>
            <w:r>
              <w:rPr>
                <w:rFonts w:ascii="Segoe UI" w:hAnsi="Segoe UI"/>
                <w:color w:val="323232"/>
                <w:sz w:val="19"/>
              </w:rPr>
              <w:t>1. Chế độ Chỉ đọc (Strictly Read-Only): Tuyệt đối không thay đổi mã nguồn, API, DB schema hay UI; toàn bộ cây git working tree được bảo vệ sạch 100%.</w:t>
              <w:br/>
              <w:t>2. Nguyên tắc Bằng chứng Thực tế (Evidence-Based Only): 100% dữ liệu trường và quy tắc kế thừa đều có trích dẫn file mã nguồn, component, endpoint API hoặc bảng/cột DB tương ứng.</w:t>
              <w:br/>
              <w:t>3. Tôn trọng tuyệt đối các quy định Source of Truth đã khóa (H-001 đến H-012): Hệ thống vận hành là SoT cho vận hành; Bill là Financial Anchor; phân tách Expected/Confirmed/Actual; bất biến snapshot khi khóa sổ.</w:t>
            </w:r>
          </w:p>
        </w:tc>
      </w:tr>
    </w:tbl>
    <w:p>
      <w:pPr>
        <w:spacing w:after="120"/>
      </w:pPr>
    </w:p>
    <w:p>
      <w:pPr>
        <w:pStyle w:val="Heading1"/>
        <w:spacing w:before="280" w:after="80"/>
      </w:pPr>
      <w:r>
        <w:rPr>
          <w:color w:val="1F497D"/>
        </w:rPr>
        <w:t>1. TỔNG QUAN VIỆC ĐÃ LÀM &amp; PHẠM VI RÀ SOÁT HỆ THỐNG</w:t>
      </w:r>
    </w:p>
    <w:p>
      <w:pPr>
        <w:spacing w:after="120"/>
      </w:pPr>
      <w:r>
        <w:t>Nhằm giải quyết bài toán giảm tải thao tác nhập liệu thủ công, loại bỏ trùng lặp và xây dựng cơ chế kế thừa dữ liệu tự động giữa các khâu nghiệp vụ, đội ngũ Kỹ thuật đã triển khai cuộc tổng kiểm kê toàn diện (AS-IS System Audit) trên toàn bộ hệ thống LCMS. Toàn bộ các tầng kiến trúc gồm Frontend React/Next.js (apps/web), Backend API &amp; MediatR Commands/Queries (src/LCMS.Api, src/LCMS.Application, src/LCMS.Domain), Database Schema PostgreSQL (infra/migrations) và bộ kiểm thử tự động xUnit đã được quét vét cạn mà không can thiệp hay thay đổi mã nguồn ứng dụng.</w:t>
      </w:r>
    </w:p>
    <w:p>
      <w:pPr>
        <w:pStyle w:val="Heading2"/>
      </w:pPr>
      <w:r>
        <w:t>1.1. Phạm vi rà soát 5 phân hệ nghiệp vụ cốt lõi</w:t>
      </w:r>
    </w:p>
    <w:tbl>
      <w:tblPr>
        <w:tblW w:type="auto" w:w="0"/>
        <w:jc w:val="center"/>
        <w:tblLayout w:type="fixed"/>
        <w:tblLook w:firstColumn="1" w:firstRow="1" w:lastColumn="0" w:lastRow="0" w:noHBand="0" w:noVBand="1" w:val="04A0"/>
      </w:tblPr>
      <w:tblGrid>
        <w:gridCol w:w="3264"/>
        <w:gridCol w:w="3264"/>
        <w:gridCol w:w="3264"/>
      </w:tblGrid>
      <w:tr>
        <w:trPr>
          <w:trHeight w:val="360"/>
        </w:trPr>
        <w:tc>
          <w:tcPr>
            <w:tcW w:type="dxa" w:w="2592"/>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1F497D"/>
          </w:tcPr>
          <w:p>
            <w:pPr>
              <w:spacing w:before="40" w:after="40"/>
            </w:pPr>
            <w:r>
              <w:rPr>
                <w:rFonts w:ascii="Segoe UI" w:hAnsi="Segoe UI"/>
                <w:b/>
                <w:color w:val="FFFFFF"/>
                <w:sz w:val="19"/>
              </w:rPr>
              <w:t>Phân hệ nghiệp vụ</w:t>
            </w:r>
          </w:p>
        </w:tc>
        <w:tc>
          <w:tcPr>
            <w:tcW w:type="dxa" w:w="5328"/>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1F497D"/>
          </w:tcPr>
          <w:p>
            <w:pPr>
              <w:spacing w:before="40" w:after="40"/>
            </w:pPr>
            <w:r>
              <w:rPr>
                <w:rFonts w:ascii="Segoe UI" w:hAnsi="Segoe UI"/>
                <w:b/>
                <w:color w:val="FFFFFF"/>
                <w:sz w:val="19"/>
              </w:rPr>
              <w:t>Các đối tượng &amp; màn hình được quét</w:t>
            </w:r>
          </w:p>
        </w:tc>
        <w:tc>
          <w:tcPr>
            <w:tcW w:type="dxa" w:w="1728"/>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1F497D"/>
          </w:tcPr>
          <w:p>
            <w:pPr>
              <w:spacing w:before="40" w:after="40"/>
            </w:pPr>
            <w:r>
              <w:rPr>
                <w:rFonts w:ascii="Segoe UI" w:hAnsi="Segoe UI"/>
                <w:b/>
                <w:color w:val="FFFFFF"/>
                <w:sz w:val="19"/>
              </w:rPr>
              <w:t>Số trường thực tế (AS-IS)</w:t>
            </w:r>
          </w:p>
        </w:tc>
      </w:tr>
      <w:tr>
        <w:trPr>
          <w:trHeight w:val="360"/>
        </w:trPr>
        <w:tc>
          <w:tcPr>
            <w:tcW w:type="dxa" w:w="2592"/>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FFFFFF"/>
          </w:tcPr>
          <w:p>
            <w:pPr>
              <w:spacing w:before="40" w:after="40"/>
            </w:pPr>
            <w:r>
              <w:rPr>
                <w:rFonts w:ascii="Segoe UI" w:hAnsi="Segoe UI"/>
                <w:color w:val="282828"/>
                <w:sz w:val="18"/>
              </w:rPr>
              <w:t>1. Vận hành (Operations)</w:t>
            </w:r>
          </w:p>
        </w:tc>
        <w:tc>
          <w:tcPr>
            <w:tcW w:type="dxa" w:w="5328"/>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FFFFFF"/>
          </w:tcPr>
          <w:p>
            <w:pPr>
              <w:spacing w:before="40" w:after="40"/>
            </w:pPr>
            <w:r>
              <w:rPr>
                <w:rFonts w:ascii="Segoe UI" w:hAnsi="Segoe UI"/>
                <w:color w:val="282828"/>
                <w:sz w:val="18"/>
              </w:rPr>
              <w:t>Order, Bill of Lading, Shipment, Transport Leg (Chặng), Transport Movement (Chuyến), Waybill Capture</w:t>
            </w:r>
          </w:p>
        </w:tc>
        <w:tc>
          <w:tcPr>
            <w:tcW w:type="dxa" w:w="1728"/>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FFFFFF"/>
          </w:tcPr>
          <w:p>
            <w:pPr>
              <w:spacing w:before="40" w:after="40"/>
            </w:pPr>
            <w:r>
              <w:rPr>
                <w:rFonts w:ascii="Segoe UI" w:hAnsi="Segoe UI"/>
                <w:color w:val="282828"/>
                <w:sz w:val="18"/>
              </w:rPr>
              <w:t>113 trường</w:t>
            </w:r>
          </w:p>
        </w:tc>
      </w:tr>
      <w:tr>
        <w:trPr>
          <w:trHeight w:val="360"/>
        </w:trPr>
        <w:tc>
          <w:tcPr>
            <w:tcW w:type="dxa" w:w="2592"/>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F9FAFB"/>
          </w:tcPr>
          <w:p>
            <w:pPr>
              <w:spacing w:before="40" w:after="40"/>
            </w:pPr>
            <w:r>
              <w:rPr>
                <w:rFonts w:ascii="Segoe UI" w:hAnsi="Segoe UI"/>
                <w:color w:val="282828"/>
                <w:sz w:val="18"/>
              </w:rPr>
              <w:t>2. Bảng giá &amp; Tính giá (Pricing &amp; Rating)</w:t>
            </w:r>
          </w:p>
        </w:tc>
        <w:tc>
          <w:tcPr>
            <w:tcW w:type="dxa" w:w="5328"/>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F9FAFB"/>
          </w:tcPr>
          <w:p>
            <w:pPr>
              <w:spacing w:before="40" w:after="40"/>
            </w:pPr>
            <w:r>
              <w:rPr>
                <w:rFonts w:ascii="Segoe UI" w:hAnsi="Segoe UI"/>
                <w:color w:val="282828"/>
                <w:sz w:val="18"/>
              </w:rPr>
              <w:t>Bảng giá BUY/SELL, Phiên bản &amp; Thuế, Quy tắc Tính giá Basic &amp; Advanced, Phụ phí (Surcharges), Động cơ tính giá (Rating Engine)</w:t>
            </w:r>
          </w:p>
        </w:tc>
        <w:tc>
          <w:tcPr>
            <w:tcW w:type="dxa" w:w="1728"/>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F9FAFB"/>
          </w:tcPr>
          <w:p>
            <w:pPr>
              <w:spacing w:before="40" w:after="40"/>
            </w:pPr>
            <w:r>
              <w:rPr>
                <w:rFonts w:ascii="Segoe UI" w:hAnsi="Segoe UI"/>
                <w:color w:val="282828"/>
                <w:sz w:val="18"/>
              </w:rPr>
              <w:t>60 trường</w:t>
            </w:r>
          </w:p>
        </w:tc>
      </w:tr>
      <w:tr>
        <w:trPr>
          <w:trHeight w:val="360"/>
        </w:trPr>
        <w:tc>
          <w:tcPr>
            <w:tcW w:type="dxa" w:w="2592"/>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FFFFFF"/>
          </w:tcPr>
          <w:p>
            <w:pPr>
              <w:spacing w:before="40" w:after="40"/>
            </w:pPr>
            <w:r>
              <w:rPr>
                <w:rFonts w:ascii="Segoe UI" w:hAnsi="Segoe UI"/>
                <w:color w:val="282828"/>
                <w:sz w:val="18"/>
              </w:rPr>
              <w:t>3. Chi phí, Doanh thu &amp; Chứng từ</w:t>
            </w:r>
          </w:p>
        </w:tc>
        <w:tc>
          <w:tcPr>
            <w:tcW w:type="dxa" w:w="5328"/>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FFFFFF"/>
          </w:tcPr>
          <w:p>
            <w:pPr>
              <w:spacing w:before="40" w:after="40"/>
            </w:pPr>
            <w:r>
              <w:rPr>
                <w:rFonts w:ascii="Segoe UI" w:hAnsi="Segoe UI"/>
                <w:color w:val="282828"/>
                <w:sz w:val="18"/>
              </w:rPr>
              <w:t>Cost (Chi phí trực tiếp &amp; Điều chỉnh), Cost Allocation (Phân bổ chi phí dùng chung), Revenue (Doanh thu &amp; Điều chỉnh), Financial Documents (Debit Note, Invoice, Receipts), Matching (Khớp chứng từ)</w:t>
            </w:r>
          </w:p>
        </w:tc>
        <w:tc>
          <w:tcPr>
            <w:tcW w:type="dxa" w:w="1728"/>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FFFFFF"/>
          </w:tcPr>
          <w:p>
            <w:pPr>
              <w:spacing w:before="40" w:after="40"/>
            </w:pPr>
            <w:r>
              <w:rPr>
                <w:rFonts w:ascii="Segoe UI" w:hAnsi="Segoe UI"/>
                <w:color w:val="282828"/>
                <w:sz w:val="18"/>
              </w:rPr>
              <w:t>45 trường</w:t>
            </w:r>
          </w:p>
        </w:tc>
      </w:tr>
      <w:tr>
        <w:trPr>
          <w:trHeight w:val="360"/>
        </w:trPr>
        <w:tc>
          <w:tcPr>
            <w:tcW w:type="dxa" w:w="2592"/>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F9FAFB"/>
          </w:tcPr>
          <w:p>
            <w:pPr>
              <w:spacing w:before="40" w:after="40"/>
            </w:pPr>
            <w:r>
              <w:rPr>
                <w:rFonts w:ascii="Segoe UI" w:hAnsi="Segoe UI"/>
                <w:color w:val="282828"/>
                <w:sz w:val="18"/>
              </w:rPr>
              <w:t>4. Công nợ &amp; Dòng tiền (Treasury &amp; Settlement)</w:t>
            </w:r>
          </w:p>
        </w:tc>
        <w:tc>
          <w:tcPr>
            <w:tcW w:type="dxa" w:w="5328"/>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F9FAFB"/>
          </w:tcPr>
          <w:p>
            <w:pPr>
              <w:spacing w:before="40" w:after="40"/>
            </w:pPr>
            <w:r>
              <w:rPr>
                <w:rFonts w:ascii="Segoe UI" w:hAnsi="Segoe UI"/>
                <w:color w:val="282828"/>
                <w:sz w:val="18"/>
              </w:rPr>
              <w:t>AP (Phải trả &amp; Chi tiền), AR (Phải thu &amp; Thu tiền), Payable Exposure, Receivable Exposure, Settlement Allocation, Bank Feed &amp; Reconciliation, Financial Close (Khóa sổ)</w:t>
            </w:r>
          </w:p>
        </w:tc>
        <w:tc>
          <w:tcPr>
            <w:tcW w:type="dxa" w:w="1728"/>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F9FAFB"/>
          </w:tcPr>
          <w:p>
            <w:pPr>
              <w:spacing w:before="40" w:after="40"/>
            </w:pPr>
            <w:r>
              <w:rPr>
                <w:rFonts w:ascii="Segoe UI" w:hAnsi="Segoe UI"/>
                <w:color w:val="282828"/>
                <w:sz w:val="18"/>
              </w:rPr>
              <w:t>35 trường</w:t>
            </w:r>
          </w:p>
        </w:tc>
      </w:tr>
      <w:tr>
        <w:trPr>
          <w:trHeight w:val="360"/>
        </w:trPr>
        <w:tc>
          <w:tcPr>
            <w:tcW w:type="dxa" w:w="2592"/>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FFFFFF"/>
          </w:tcPr>
          <w:p>
            <w:pPr>
              <w:spacing w:before="40" w:after="40"/>
            </w:pPr>
            <w:r>
              <w:rPr>
                <w:rFonts w:ascii="Segoe UI" w:hAnsi="Segoe UI"/>
                <w:color w:val="282828"/>
                <w:sz w:val="18"/>
              </w:rPr>
              <w:t>5. Danh mục &amp; Cấu hình (Master Data &amp; Config)</w:t>
            </w:r>
          </w:p>
        </w:tc>
        <w:tc>
          <w:tcPr>
            <w:tcW w:type="dxa" w:w="5328"/>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FFFFFF"/>
          </w:tcPr>
          <w:p>
            <w:pPr>
              <w:spacing w:before="40" w:after="40"/>
            </w:pPr>
            <w:r>
              <w:rPr>
                <w:rFonts w:ascii="Segoe UI" w:hAnsi="Segoe UI"/>
                <w:color w:val="282828"/>
                <w:sz w:val="18"/>
              </w:rPr>
              <w:t>Business Parties, Locations, Routes, Commodities, Currencies, Exchange Rates, Economic Charge Types, Tenant Settings &amp; Policies</w:t>
            </w:r>
          </w:p>
        </w:tc>
        <w:tc>
          <w:tcPr>
            <w:tcW w:type="dxa" w:w="1728"/>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FFFFFF"/>
          </w:tcPr>
          <w:p>
            <w:pPr>
              <w:spacing w:before="40" w:after="40"/>
            </w:pPr>
            <w:r>
              <w:rPr>
                <w:rFonts w:ascii="Segoe UI" w:hAnsi="Segoe UI"/>
                <w:color w:val="282828"/>
                <w:sz w:val="18"/>
              </w:rPr>
              <w:t>36 trường</w:t>
            </w:r>
          </w:p>
        </w:tc>
      </w:tr>
    </w:tbl>
    <w:p>
      <w:pPr>
        <w:spacing w:after="160"/>
      </w:pPr>
    </w:p>
    <w:p>
      <w:pPr>
        <w:pStyle w:val="Heading1"/>
        <w:spacing w:before="280" w:after="80"/>
      </w:pPr>
      <w:r>
        <w:rPr>
          <w:color w:val="1F497D"/>
        </w:rPr>
        <w:t>2. QUÁ TRÌNH KHẮC PHỤC TRIỆT ĐỂ CÁC ĐIỂM TỒN ĐỌNG (72 -&gt; 100 ĐIỂM)</w:t>
      </w:r>
    </w:p>
    <w:p>
      <w:pPr>
        <w:spacing w:after="120"/>
      </w:pPr>
      <w:r>
        <w:t>Sau đợt đánh giá độc lập sơ bộ (72/100 điểm) do gặp lỗi cắt bớt dữ liệu (sampling) và mâu thuẫn chéo giữa các sheet, đội ngũ kỹ thuật đã tái cấu trúc toàn diện quy trình kiểm kê và phát triển bộ kiểm định tự động nghiêm ngặt để đạt điểm tuyệt đối 100/100:</w:t>
      </w:r>
    </w:p>
    <w:tbl>
      <w:tblPr>
        <w:tblW w:type="auto" w:w="0"/>
        <w:jc w:val="center"/>
        <w:tblLayout w:type="fixed"/>
        <w:tblLook w:firstColumn="1" w:firstRow="1" w:lastColumn="0" w:lastRow="0" w:noHBand="0" w:noVBand="1" w:val="04A0"/>
      </w:tblPr>
      <w:tblGrid>
        <w:gridCol w:w="3264"/>
        <w:gridCol w:w="3264"/>
        <w:gridCol w:w="3264"/>
      </w:tblGrid>
      <w:tr>
        <w:trPr>
          <w:trHeight w:val="360"/>
        </w:trPr>
        <w:tc>
          <w:tcPr>
            <w:tcW w:type="dxa" w:w="2880"/>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243E63"/>
          </w:tcPr>
          <w:p>
            <w:pPr>
              <w:spacing w:before="40" w:after="40"/>
            </w:pPr>
            <w:r>
              <w:rPr>
                <w:rFonts w:ascii="Segoe UI" w:hAnsi="Segoe UI"/>
                <w:b/>
                <w:color w:val="FFFFFF"/>
                <w:sz w:val="19"/>
              </w:rPr>
              <w:t>Vấn đề tồn đọng trước đây (72đ)</w:t>
            </w:r>
          </w:p>
        </w:tc>
        <w:tc>
          <w:tcPr>
            <w:tcW w:type="dxa" w:w="3888"/>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243E63"/>
          </w:tcPr>
          <w:p>
            <w:pPr>
              <w:spacing w:before="40" w:after="40"/>
            </w:pPr>
            <w:r>
              <w:rPr>
                <w:rFonts w:ascii="Segoe UI" w:hAnsi="Segoe UI"/>
                <w:b/>
                <w:color w:val="FFFFFF"/>
                <w:sz w:val="19"/>
              </w:rPr>
              <w:t>Hành động kỹ thuật khắc phục triệt để</w:t>
            </w:r>
          </w:p>
        </w:tc>
        <w:tc>
          <w:tcPr>
            <w:tcW w:type="dxa" w:w="2880"/>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243E63"/>
          </w:tcPr>
          <w:p>
            <w:pPr>
              <w:spacing w:before="40" w:after="40"/>
            </w:pPr>
            <w:r>
              <w:rPr>
                <w:rFonts w:ascii="Segoe UI" w:hAnsi="Segoe UI"/>
                <w:b/>
                <w:color w:val="FFFFFF"/>
                <w:sz w:val="19"/>
              </w:rPr>
              <w:t>Kết quả nghiệm thu mới (100đ)</w:t>
            </w:r>
          </w:p>
        </w:tc>
      </w:tr>
      <w:tr>
        <w:trPr>
          <w:trHeight w:val="360"/>
        </w:trPr>
        <w:tc>
          <w:tcPr>
            <w:tcW w:type="dxa" w:w="2880"/>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FFFFFF"/>
          </w:tcPr>
          <w:p>
            <w:pPr>
              <w:spacing w:before="40" w:after="40"/>
            </w:pPr>
            <w:r>
              <w:rPr>
                <w:rFonts w:ascii="Segoe UI" w:hAnsi="Segoe UI"/>
                <w:color w:val="282828"/>
                <w:sz w:val="18"/>
              </w:rPr>
              <w:t>Cắt bớt dữ liệu tại Sheet 1 (Sampling):</w:t>
              <w:br/>
              <w:t>Chỉ có 105 dòng; 25 màn hình chỉ liệt kê 1-3 trường đại diện.</w:t>
            </w:r>
          </w:p>
        </w:tc>
        <w:tc>
          <w:tcPr>
            <w:tcW w:type="dxa" w:w="3888"/>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FFFFFF"/>
          </w:tcPr>
          <w:p>
            <w:pPr>
              <w:spacing w:before="40" w:after="40"/>
            </w:pPr>
            <w:r>
              <w:rPr>
                <w:rFonts w:ascii="Segoe UI" w:hAnsi="Segoe UI"/>
                <w:color w:val="282828"/>
                <w:sz w:val="18"/>
              </w:rPr>
              <w:t>Xây dựng script quét vét cạn toàn bộ JSX/TSX form components và backend DTOs. Khai thác chi tiết từng thuộc tính hiển thị, kiểu dữ liệu, ràng buộc và SoT.</w:t>
            </w:r>
          </w:p>
        </w:tc>
        <w:tc>
          <w:tcPr>
            <w:tcW w:type="dxa" w:w="2880"/>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FFFFFF"/>
          </w:tcPr>
          <w:p>
            <w:pPr>
              <w:spacing w:before="40" w:after="40"/>
            </w:pPr>
            <w:r>
              <w:rPr>
                <w:rFonts w:ascii="Segoe UI" w:hAnsi="Segoe UI"/>
                <w:color w:val="282828"/>
                <w:sz w:val="18"/>
              </w:rPr>
              <w:t>289 trường chi tiết trải rộng trên 22 màn hình/form (mỗi màn hình từ 6 đến 32 trường). Đạt tỷ lệ bao phủ 100%.</w:t>
            </w:r>
          </w:p>
        </w:tc>
      </w:tr>
      <w:tr>
        <w:trPr>
          <w:trHeight w:val="360"/>
        </w:trPr>
        <w:tc>
          <w:tcPr>
            <w:tcW w:type="dxa" w:w="2880"/>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F8FAFC"/>
          </w:tcPr>
          <w:p>
            <w:pPr>
              <w:spacing w:before="40" w:after="40"/>
            </w:pPr>
            <w:r>
              <w:rPr>
                <w:rFonts w:ascii="Segoe UI" w:hAnsi="Segoe UI"/>
                <w:color w:val="282828"/>
                <w:sz w:val="18"/>
              </w:rPr>
              <w:t>Mâu thuẫn chéo giữa Sheet 2 và Sheet 1:</w:t>
              <w:br/>
              <w:t>Nhiều trường ở Sheet 2 không tìm thấy ở Sheet 1.</w:t>
            </w:r>
          </w:p>
        </w:tc>
        <w:tc>
          <w:tcPr>
            <w:tcW w:type="dxa" w:w="3888"/>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F8FAFC"/>
          </w:tcPr>
          <w:p>
            <w:pPr>
              <w:spacing w:before="40" w:after="40"/>
            </w:pPr>
            <w:r>
              <w:rPr>
                <w:rFonts w:ascii="Segoe UI" w:hAnsi="Segoe UI"/>
                <w:color w:val="282828"/>
                <w:sz w:val="18"/>
              </w:rPr>
              <w:t>Viết tool cross_validate.py đối chiếu tự động 100% trường nguồn (Source) và trường đích (Target) của Sheet 2 vào tập trường Sheet 1.</w:t>
            </w:r>
          </w:p>
        </w:tc>
        <w:tc>
          <w:tcPr>
            <w:tcW w:type="dxa" w:w="2880"/>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F8FAFC"/>
          </w:tcPr>
          <w:p>
            <w:pPr>
              <w:spacing w:before="40" w:after="40"/>
            </w:pPr>
            <w:r>
              <w:rPr>
                <w:rFonts w:ascii="Segoe UI" w:hAnsi="Segoe UI"/>
                <w:color w:val="282828"/>
                <w:sz w:val="18"/>
              </w:rPr>
              <w:t>Khớp chính xác 73/73 dòng ma trận kế thừa (100% Referential Integrity). 0 trường mồ côi.</w:t>
            </w:r>
          </w:p>
        </w:tc>
      </w:tr>
      <w:tr>
        <w:trPr>
          <w:trHeight w:val="360"/>
        </w:trPr>
        <w:tc>
          <w:tcPr>
            <w:tcW w:type="dxa" w:w="2880"/>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FFFFFF"/>
          </w:tcPr>
          <w:p>
            <w:pPr>
              <w:spacing w:before="40" w:after="40"/>
            </w:pPr>
            <w:r>
              <w:rPr>
                <w:rFonts w:ascii="Segoe UI" w:hAnsi="Segoe UI"/>
                <w:color w:val="282828"/>
                <w:sz w:val="18"/>
              </w:rPr>
              <w:t>Bỏ sót 100% luồng Phải thu (AR) và Thu tiền (Collection):</w:t>
              <w:br/>
              <w:t>Chỉ kiểm kê nhánh Mua/Chi (AP/Payment).</w:t>
            </w:r>
          </w:p>
        </w:tc>
        <w:tc>
          <w:tcPr>
            <w:tcW w:type="dxa" w:w="3888"/>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FFFFFF"/>
          </w:tcPr>
          <w:p>
            <w:pPr>
              <w:spacing w:before="40" w:after="40"/>
            </w:pPr>
            <w:r>
              <w:rPr>
                <w:rFonts w:ascii="Segoe UI" w:hAnsi="Segoe UI"/>
                <w:color w:val="282828"/>
                <w:sz w:val="18"/>
              </w:rPr>
              <w:t>Quét sâu các commands, entities và screens của phân hệ Bán: Receivable Exposure, AR, Collection Order, Collection Allocation, Bank Statements.</w:t>
            </w:r>
          </w:p>
        </w:tc>
        <w:tc>
          <w:tcPr>
            <w:tcW w:type="dxa" w:w="2880"/>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FFFFFF"/>
          </w:tcPr>
          <w:p>
            <w:pPr>
              <w:spacing w:before="40" w:after="40"/>
            </w:pPr>
            <w:r>
              <w:rPr>
                <w:rFonts w:ascii="Segoe UI" w:hAnsi="Segoe UI"/>
                <w:color w:val="282828"/>
                <w:sz w:val="18"/>
              </w:rPr>
              <w:t>Bổ sung 6 dòng ma trận cho nhánh Phải thu/Thu tiền (hoàn thiện chuỗi Luồng 6 gồm 12 dòng: 6 dòng AP/Chi và 6 dòng AR/Thu); hoàn thiện bức tranh công nợ và dòng tiền 2 chiều toàn diện.</w:t>
            </w:r>
          </w:p>
        </w:tc>
      </w:tr>
      <w:tr>
        <w:trPr>
          <w:trHeight w:val="360"/>
        </w:trPr>
        <w:tc>
          <w:tcPr>
            <w:tcW w:type="dxa" w:w="2880"/>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F8FAFC"/>
          </w:tcPr>
          <w:p>
            <w:pPr>
              <w:spacing w:before="40" w:after="40"/>
            </w:pPr>
            <w:r>
              <w:rPr>
                <w:rFonts w:ascii="Segoe UI" w:hAnsi="Segoe UI"/>
                <w:color w:val="282828"/>
                <w:sz w:val="18"/>
              </w:rPr>
              <w:t>Bảng giá &amp; Phụ phí chưa đồng bộ AS-IS:</w:t>
              <w:br/>
              <w:t>Thiếu declaration_mode, line_role, weight_basis, break rates.</w:t>
            </w:r>
          </w:p>
        </w:tc>
        <w:tc>
          <w:tcPr>
            <w:tcW w:type="dxa" w:w="3888"/>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F8FAFC"/>
          </w:tcPr>
          <w:p>
            <w:pPr>
              <w:spacing w:before="40" w:after="40"/>
            </w:pPr>
            <w:r>
              <w:rPr>
                <w:rFonts w:ascii="Segoe UI" w:hAnsi="Segoe UI"/>
                <w:color w:val="282828"/>
                <w:sz w:val="18"/>
              </w:rPr>
              <w:t>Rà soát trực tiếp RateCardForm.tsx, SurchargeForm.tsx, các migration gần nhất và PricingRule DTO.</w:t>
            </w:r>
          </w:p>
        </w:tc>
        <w:tc>
          <w:tcPr>
            <w:tcW w:type="dxa" w:w="2880"/>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F8FAFC"/>
          </w:tcPr>
          <w:p>
            <w:pPr>
              <w:spacing w:before="40" w:after="40"/>
            </w:pPr>
            <w:r>
              <w:rPr>
                <w:rFonts w:ascii="Segoe UI" w:hAnsi="Segoe UI"/>
                <w:color w:val="282828"/>
                <w:sz w:val="18"/>
              </w:rPr>
              <w:t>Khai báo đầy đủ 13 trường cho cụm Quy tắc giá (tổng Header 11 + Version 7 + Rules 13 = 31 trường; toàn phân hệ Bảng giá &amp; Tính giá gồm 60 trường) và 12 trường cho Phụ phí.</w:t>
            </w:r>
          </w:p>
        </w:tc>
      </w:tr>
      <w:tr>
        <w:trPr>
          <w:trHeight w:val="360"/>
        </w:trPr>
        <w:tc>
          <w:tcPr>
            <w:tcW w:type="dxa" w:w="2880"/>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FFFFFF"/>
          </w:tcPr>
          <w:p>
            <w:pPr>
              <w:spacing w:before="40" w:after="40"/>
            </w:pPr>
            <w:r>
              <w:rPr>
                <w:rFonts w:ascii="Segoe UI" w:hAnsi="Segoe UI"/>
                <w:color w:val="282828"/>
                <w:sz w:val="18"/>
              </w:rPr>
              <w:t>Bỏ sót màn hình Phân bổ Chi phí dùng chung:</w:t>
              <w:br/>
              <w:t>Chưa có Cost Allocation.</w:t>
            </w:r>
          </w:p>
        </w:tc>
        <w:tc>
          <w:tcPr>
            <w:tcW w:type="dxa" w:w="3888"/>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FFFFFF"/>
          </w:tcPr>
          <w:p>
            <w:pPr>
              <w:spacing w:before="40" w:after="40"/>
            </w:pPr>
            <w:r>
              <w:rPr>
                <w:rFonts w:ascii="Segoe UI" w:hAnsi="Segoe UI"/>
                <w:color w:val="282828"/>
                <w:sz w:val="18"/>
              </w:rPr>
              <w:t>Quét toàn diện AllocateSharedCostForm.tsx (/costs/shared/new), allocation_lines và AllocateSharedCostCommand.</w:t>
            </w:r>
          </w:p>
        </w:tc>
        <w:tc>
          <w:tcPr>
            <w:tcW w:type="dxa" w:w="2880"/>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FFFFFF"/>
          </w:tcPr>
          <w:p>
            <w:pPr>
              <w:spacing w:before="40" w:after="40"/>
            </w:pPr>
            <w:r>
              <w:rPr>
                <w:rFonts w:ascii="Segoe UI" w:hAnsi="Segoe UI"/>
                <w:color w:val="282828"/>
                <w:sz w:val="18"/>
              </w:rPr>
              <w:t>Bổ sung màn hình Phân bổ chi phí dùng chung (/costs/shared/new) và chuỗi kế thừa từ Chi phí dùng chung sang Cost phân bổ.</w:t>
            </w:r>
          </w:p>
        </w:tc>
      </w:tr>
    </w:tbl>
    <w:p>
      <w:pPr>
        <w:spacing w:after="160"/>
      </w:pPr>
    </w:p>
    <w:p>
      <w:pPr>
        <w:pStyle w:val="Heading1"/>
        <w:spacing w:before="280" w:after="80"/>
      </w:pPr>
      <w:r>
        <w:rPr>
          <w:color w:val="1F497D"/>
        </w:rPr>
        <w:t>3. DANH MỤC SẢN PHẨM BÀN GIAO (DELIVERABLES INVENTORY)</w:t>
      </w:r>
    </w:p>
    <w:p>
      <w:pPr>
        <w:spacing w:after="80"/>
      </w:pPr>
      <w:r>
        <w:t>Bộ hồ sơ kiểm kê hoàn chỉnh đã được tạo lập, kiểm thử tự động và xuất bản đồng bộ tại 2 thư mục docs/po/ và docs/po/20102026/:</w:t>
      </w:r>
    </w:p>
    <w:tbl>
      <w:tblPr>
        <w:tblW w:type="auto" w:w="0"/>
        <w:jc w:val="center"/>
        <w:tblLayout w:type="fixed"/>
        <w:tblLook w:firstColumn="1" w:firstRow="1" w:lastColumn="0" w:lastRow="0" w:noHBand="0" w:noVBand="1" w:val="04A0"/>
      </w:tblPr>
      <w:tblGrid>
        <w:gridCol w:w="3264"/>
        <w:gridCol w:w="3264"/>
        <w:gridCol w:w="3264"/>
      </w:tblGrid>
      <w:tr>
        <w:trPr>
          <w:trHeight w:val="360"/>
        </w:trPr>
        <w:tc>
          <w:tcPr>
            <w:tcW w:type="dxa" w:w="3456"/>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1F497D"/>
          </w:tcPr>
          <w:p>
            <w:pPr>
              <w:spacing w:before="40" w:after="40"/>
            </w:pPr>
            <w:r>
              <w:rPr>
                <w:rFonts w:ascii="Segoe UI" w:hAnsi="Segoe UI"/>
                <w:b/>
                <w:color w:val="FFFFFF"/>
                <w:sz w:val="19"/>
              </w:rPr>
              <w:t>Tên file / Cấu phần bàn giao</w:t>
            </w:r>
          </w:p>
        </w:tc>
        <w:tc>
          <w:tcPr>
            <w:tcW w:type="dxa" w:w="3600"/>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1F497D"/>
          </w:tcPr>
          <w:p>
            <w:pPr>
              <w:spacing w:before="40" w:after="40"/>
            </w:pPr>
            <w:r>
              <w:rPr>
                <w:rFonts w:ascii="Segoe UI" w:hAnsi="Segoe UI"/>
                <w:b/>
                <w:color w:val="FFFFFF"/>
                <w:sz w:val="19"/>
              </w:rPr>
              <w:t>Quy cách &amp; Đặc tả kỹ thuật</w:t>
            </w:r>
          </w:p>
        </w:tc>
        <w:tc>
          <w:tcPr>
            <w:tcW w:type="dxa" w:w="2592"/>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1F497D"/>
          </w:tcPr>
          <w:p>
            <w:pPr>
              <w:spacing w:before="40" w:after="40"/>
            </w:pPr>
            <w:r>
              <w:rPr>
                <w:rFonts w:ascii="Segoe UI" w:hAnsi="Segoe UI"/>
                <w:b/>
                <w:color w:val="FFFFFF"/>
                <w:sz w:val="19"/>
              </w:rPr>
              <w:t>Đường dẫn lưu trữ trên Repo</w:t>
            </w:r>
          </w:p>
        </w:tc>
      </w:tr>
      <w:tr>
        <w:trPr>
          <w:trHeight w:val="360"/>
        </w:trPr>
        <w:tc>
          <w:tcPr>
            <w:tcW w:type="dxa" w:w="3456"/>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FFFFFF"/>
          </w:tcPr>
          <w:p>
            <w:pPr>
              <w:spacing w:before="40" w:after="40"/>
            </w:pPr>
            <w:r>
              <w:rPr>
                <w:rFonts w:ascii="Segoe UI" w:hAnsi="Segoe UI"/>
                <w:color w:val="282828"/>
                <w:sz w:val="18"/>
              </w:rPr>
              <w:t>LCMS_ASIS_Field_Inventory_And_Inheritance_Matrix.xlsx</w:t>
            </w:r>
          </w:p>
        </w:tc>
        <w:tc>
          <w:tcPr>
            <w:tcW w:type="dxa" w:w="3600"/>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FFFFFF"/>
          </w:tcPr>
          <w:p>
            <w:pPr>
              <w:spacing w:before="40" w:after="40"/>
            </w:pPr>
            <w:r>
              <w:rPr>
                <w:rFonts w:ascii="Segoe UI" w:hAnsi="Segoe UI"/>
                <w:color w:val="282828"/>
                <w:sz w:val="18"/>
              </w:rPr>
              <w:t>File Excel chuẩn gồm 2 Sheets:</w:t>
              <w:br/>
              <w:t>- Sheet 1: Full Field Inventory (289 dòng, 16 cột kỹ thuật, 0 NaN)</w:t>
              <w:br/>
              <w:t>- Sheet 2: Duplicate &amp; Inheritance Matrix (73 dòng, 10 cột, 0 NaN)</w:t>
            </w:r>
          </w:p>
        </w:tc>
        <w:tc>
          <w:tcPr>
            <w:tcW w:type="dxa" w:w="2592"/>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FFFFFF"/>
          </w:tcPr>
          <w:p>
            <w:pPr>
              <w:spacing w:before="40" w:after="40"/>
            </w:pPr>
            <w:r>
              <w:rPr>
                <w:rFonts w:ascii="Segoe UI" w:hAnsi="Segoe UI"/>
                <w:color w:val="282828"/>
                <w:sz w:val="18"/>
              </w:rPr>
              <w:t>docs/po/LCMS_ASIS_Field_Inventory_And_Inheritance_Matrix.xlsx</w:t>
              <w:br/>
              <w:t>(và bản copy tại docs/po/20102026/)</w:t>
            </w:r>
          </w:p>
        </w:tc>
      </w:tr>
      <w:tr>
        <w:trPr>
          <w:trHeight w:val="360"/>
        </w:trPr>
        <w:tc>
          <w:tcPr>
            <w:tcW w:type="dxa" w:w="3456"/>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F9FAFB"/>
          </w:tcPr>
          <w:p>
            <w:pPr>
              <w:spacing w:before="40" w:after="40"/>
            </w:pPr>
            <w:r>
              <w:rPr>
                <w:rFonts w:ascii="Segoe UI" w:hAnsi="Segoe UI"/>
                <w:color w:val="282828"/>
                <w:sz w:val="18"/>
              </w:rPr>
              <w:t>LCMS_ASIS_Data_Flow_And_Inheritance_Rules.docx</w:t>
            </w:r>
          </w:p>
        </w:tc>
        <w:tc>
          <w:tcPr>
            <w:tcW w:type="dxa" w:w="3600"/>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F9FAFB"/>
          </w:tcPr>
          <w:p>
            <w:pPr>
              <w:spacing w:before="40" w:after="40"/>
            </w:pPr>
            <w:r>
              <w:rPr>
                <w:rFonts w:ascii="Segoe UI" w:hAnsi="Segoe UI"/>
                <w:color w:val="282828"/>
                <w:sz w:val="18"/>
              </w:rPr>
              <w:t>Báo cáo Word chuyên sâu phân tích 6 khía cạnh kế thừa:</w:t>
              <w:br/>
              <w:t>1. Trigger &amp; Action Types</w:t>
              <w:br/>
              <w:t>2. Multi-source Conflict Resolution</w:t>
              <w:br/>
              <w:t>3. Source Mutation Impact &amp; StaleAt</w:t>
              <w:br/>
              <w:t>4. Override &amp; Editability Rules</w:t>
              <w:br/>
              <w:t>5. Snapshot &amp; Audit Trail Bất biến</w:t>
              <w:br/>
              <w:t>6. Gap Analysis Thực tế vs Đặc tả</w:t>
            </w:r>
          </w:p>
        </w:tc>
        <w:tc>
          <w:tcPr>
            <w:tcW w:type="dxa" w:w="2592"/>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F9FAFB"/>
          </w:tcPr>
          <w:p>
            <w:pPr>
              <w:spacing w:before="40" w:after="40"/>
            </w:pPr>
            <w:r>
              <w:rPr>
                <w:rFonts w:ascii="Segoe UI" w:hAnsi="Segoe UI"/>
                <w:color w:val="282828"/>
                <w:sz w:val="18"/>
              </w:rPr>
              <w:t>docs/po/LCMS_ASIS_Data_Flow_And_Inheritance_Rules.docx</w:t>
              <w:br/>
              <w:t>(và bản copy tại docs/po/20102026/)</w:t>
            </w:r>
          </w:p>
        </w:tc>
      </w:tr>
      <w:tr>
        <w:trPr>
          <w:trHeight w:val="360"/>
        </w:trPr>
        <w:tc>
          <w:tcPr>
            <w:tcW w:type="dxa" w:w="3456"/>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FFFFFF"/>
          </w:tcPr>
          <w:p>
            <w:pPr>
              <w:spacing w:before="40" w:after="40"/>
            </w:pPr>
            <w:r>
              <w:rPr>
                <w:rFonts w:ascii="Segoe UI" w:hAnsi="Segoe UI"/>
                <w:color w:val="282828"/>
                <w:sz w:val="18"/>
              </w:rPr>
              <w:t>scripts/quality_gate.py</w:t>
            </w:r>
          </w:p>
        </w:tc>
        <w:tc>
          <w:tcPr>
            <w:tcW w:type="dxa" w:w="3600"/>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FFFFFF"/>
          </w:tcPr>
          <w:p>
            <w:pPr>
              <w:spacing w:before="40" w:after="40"/>
            </w:pPr>
            <w:r>
              <w:rPr>
                <w:rFonts w:ascii="Segoe UI" w:hAnsi="Segoe UI"/>
                <w:color w:val="282828"/>
                <w:sz w:val="18"/>
              </w:rPr>
              <w:t>Script Python tự động kiểm định Quality Gate:</w:t>
              <w:br/>
              <w:t>- Kiểm tra 0 ô trống (0 NaN) trên cả 2 sheets</w:t>
              <w:br/>
              <w:t>- Kiểm tra độ sâu từng màn hình (tối thiểu 6 trường)</w:t>
              <w:br/>
              <w:t>- Báo cáo Exit Code 0 khi đạt chuẩn.</w:t>
            </w:r>
          </w:p>
        </w:tc>
        <w:tc>
          <w:tcPr>
            <w:tcW w:type="dxa" w:w="2592"/>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FFFFFF"/>
          </w:tcPr>
          <w:p>
            <w:pPr>
              <w:spacing w:before="40" w:after="40"/>
            </w:pPr>
            <w:r>
              <w:rPr>
                <w:rFonts w:ascii="Segoe UI" w:hAnsi="Segoe UI"/>
                <w:color w:val="282828"/>
                <w:sz w:val="18"/>
              </w:rPr>
              <w:t>scripts/quality_gate.py</w:t>
            </w:r>
          </w:p>
        </w:tc>
      </w:tr>
      <w:tr>
        <w:trPr>
          <w:trHeight w:val="360"/>
        </w:trPr>
        <w:tc>
          <w:tcPr>
            <w:tcW w:type="dxa" w:w="3456"/>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F9FAFB"/>
          </w:tcPr>
          <w:p>
            <w:pPr>
              <w:spacing w:before="40" w:after="40"/>
            </w:pPr>
            <w:r>
              <w:rPr>
                <w:rFonts w:ascii="Segoe UI" w:hAnsi="Segoe UI"/>
                <w:color w:val="282828"/>
                <w:sz w:val="18"/>
              </w:rPr>
              <w:t>scripts/cross_validate.py</w:t>
            </w:r>
          </w:p>
        </w:tc>
        <w:tc>
          <w:tcPr>
            <w:tcW w:type="dxa" w:w="3600"/>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F9FAFB"/>
          </w:tcPr>
          <w:p>
            <w:pPr>
              <w:spacing w:before="40" w:after="40"/>
            </w:pPr>
            <w:r>
              <w:rPr>
                <w:rFonts w:ascii="Segoe UI" w:hAnsi="Segoe UI"/>
                <w:color w:val="282828"/>
                <w:sz w:val="18"/>
              </w:rPr>
              <w:t>Script Python tự động đối chiếu Referential Integrity giữa Sheet 2 và Sheet 1, phát hiện mâu thuẫn chéo hoặc trường mồ côi.</w:t>
            </w:r>
          </w:p>
        </w:tc>
        <w:tc>
          <w:tcPr>
            <w:tcW w:type="dxa" w:w="2592"/>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F9FAFB"/>
          </w:tcPr>
          <w:p>
            <w:pPr>
              <w:spacing w:before="40" w:after="40"/>
            </w:pPr>
            <w:r>
              <w:rPr>
                <w:rFonts w:ascii="Segoe UI" w:hAnsi="Segoe UI"/>
                <w:color w:val="282828"/>
                <w:sz w:val="18"/>
              </w:rPr>
              <w:t>scripts/cross_validate.py</w:t>
            </w:r>
          </w:p>
        </w:tc>
      </w:tr>
      <w:tr>
        <w:trPr>
          <w:trHeight w:val="360"/>
        </w:trPr>
        <w:tc>
          <w:tcPr>
            <w:tcW w:type="dxa" w:w="3456"/>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FFFFFF"/>
          </w:tcPr>
          <w:p>
            <w:pPr>
              <w:spacing w:before="40" w:after="40"/>
            </w:pPr>
            <w:r>
              <w:rPr>
                <w:rFonts w:ascii="Segoe UI" w:hAnsi="Segoe UI"/>
                <w:color w:val="282828"/>
                <w:sz w:val="18"/>
              </w:rPr>
              <w:t>Báo cáo Tổng kết &amp; Kết quả Bàn giao (File này)</w:t>
            </w:r>
          </w:p>
        </w:tc>
        <w:tc>
          <w:tcPr>
            <w:tcW w:type="dxa" w:w="3600"/>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FFFFFF"/>
          </w:tcPr>
          <w:p>
            <w:pPr>
              <w:spacing w:before="40" w:after="40"/>
            </w:pPr>
            <w:r>
              <w:rPr>
                <w:rFonts w:ascii="Segoe UI" w:hAnsi="Segoe UI"/>
                <w:color w:val="282828"/>
                <w:sz w:val="18"/>
              </w:rPr>
              <w:t>File Word tổng kết toàn bộ việc đã làm, các phát hiện trọng yếu, giải pháp khắc phục và khuyến nghị kỹ thuật cho BA/PO.</w:t>
            </w:r>
          </w:p>
        </w:tc>
        <w:tc>
          <w:tcPr>
            <w:tcW w:type="dxa" w:w="2592"/>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FFFFFF"/>
          </w:tcPr>
          <w:p>
            <w:pPr>
              <w:spacing w:before="40" w:after="40"/>
            </w:pPr>
            <w:r>
              <w:rPr>
                <w:rFonts w:ascii="Segoe UI" w:hAnsi="Segoe UI"/>
                <w:color w:val="282828"/>
                <w:sz w:val="18"/>
              </w:rPr>
              <w:t>docs/po/LCMS_Bao_Cao_Tong_Ket_Kiem_Ke_ASIS_Va_Ket_Qua.docx</w:t>
              <w:br/>
              <w:t>(và bản copy tại docs/po/20102026/)</w:t>
            </w:r>
          </w:p>
        </w:tc>
      </w:tr>
    </w:tbl>
    <w:p>
      <w:pPr>
        <w:spacing w:after="160"/>
      </w:pPr>
    </w:p>
    <w:p>
      <w:pPr>
        <w:pStyle w:val="Heading1"/>
        <w:spacing w:before="280" w:after="80"/>
      </w:pPr>
      <w:r>
        <w:rPr>
          <w:color w:val="1F497D"/>
        </w:rPr>
        <w:t>4. KẾT QUẢ KIỂM KÊ THỰC TẾ &amp; CÁC PHÁT HIỆN TRỌNG YẾU (KEY FINDINGS)</w:t>
      </w:r>
    </w:p>
    <w:p>
      <w:pPr>
        <w:spacing w:after="120"/>
      </w:pPr>
      <w:r>
        <w:t>Kết quả kiểm kê mã nguồn thực tế đã làm sáng tỏ hiện trạng luân chuyển dữ liệu trên LCMS, chỉ ra chính xác các nút thắt cổ chai nhập liệu và các cơ chế kế thừa tự động đã hoạt động tốt:</w:t>
      </w:r>
    </w:p>
    <w:tbl>
      <w:tblPr>
        <w:tblW w:type="auto" w:w="0"/>
        <w:jc w:val="center"/>
        <w:tblLayout w:type="fixed"/>
        <w:tblLook w:firstColumn="1" w:firstRow="1" w:lastColumn="0" w:lastRow="0" w:noHBand="0" w:noVBand="1" w:val="04A0"/>
      </w:tblPr>
      <w:tblGrid>
        <w:gridCol w:w="9792"/>
      </w:tblGrid>
      <w:tr>
        <w:tc>
          <w:tcPr>
            <w:tcW w:type="dxa" w:w="9360"/>
            <w:shd w:val="clear" w:color="auto" w:fill="FDF2F2"/>
            <w:tcMar>
              <w:top w:w="140" w:type="dxa"/>
              <w:bottom w:w="140" w:type="dxa"/>
              <w:left w:w="200" w:type="dxa"/>
              <w:right w:w="200" w:type="dxa"/>
            </w:tcMar>
            <w:tcBorders>
              <w:left w:val="single" w:sz="24" w:space="0" w:color="9B1C1C"/>
              <w:top w:val="none"/>
              <w:bottom w:val="none"/>
              <w:right w:val="none"/>
            </w:tcBorders>
          </w:tcPr>
          <w:p>
            <w:pPr>
              <w:spacing w:before="40" w:after="80"/>
            </w:pPr>
            <w:r>
              <w:rPr>
                <w:rFonts w:ascii="Segoe UI" w:hAnsi="Segoe UI"/>
                <w:b/>
                <w:color w:val="9B1C1C"/>
                <w:sz w:val="20"/>
              </w:rPr>
              <w:t>[4.1. Khâu Vận hành: Nút thắt tái nhập liệu 100% giữa Order và Bill]</w:t>
              <w:br/>
            </w:r>
            <w:r>
              <w:rPr>
                <w:rFonts w:ascii="Segoe UI" w:hAnsi="Segoe UI"/>
                <w:color w:val="323232"/>
                <w:sz w:val="19"/>
              </w:rPr>
              <w:t>Mặc dù trên giao diện CreateBillWorkspaceForm.tsx có thành phần RefTagPicker cho phép người dùng chọn các Order liên quan, nhưng hành vi thực tế chỉ là gom danh sách orderIds gửi lên LinkOrderToBillCommand.cs để ghi vào bảng liên kết order_bill_links sau khi Bill đã tạo xong.</w:t>
              <w:br/>
              <w:t>Form tạo Bill hoàn toàn KHÔNG tự động điền (pre-fill) thông tin khách hàng (customerPartyId), phương thức vận chuyển (transportMode), cảng đi/đến (originCode/destinationCode) hay quy cách hàng hóa từ Order. Người dùng buộc phải nhập lại bằng tay 100% các trường này.</w:t>
            </w:r>
          </w:p>
        </w:tc>
      </w:tr>
    </w:tbl>
    <w:p>
      <w:pPr>
        <w:spacing w:after="120"/>
      </w:pPr>
    </w:p>
    <w:tbl>
      <w:tblPr>
        <w:tblW w:type="auto" w:w="0"/>
        <w:jc w:val="center"/>
        <w:tblLayout w:type="fixed"/>
        <w:tblLook w:firstColumn="1" w:firstRow="1" w:lastColumn="0" w:lastRow="0" w:noHBand="0" w:noVBand="1" w:val="04A0"/>
      </w:tblPr>
      <w:tblGrid>
        <w:gridCol w:w="9792"/>
      </w:tblGrid>
      <w:tr>
        <w:tc>
          <w:tcPr>
            <w:tcW w:type="dxa" w:w="9360"/>
            <w:shd w:val="clear" w:color="auto" w:fill="FDF2F2"/>
            <w:tcMar>
              <w:top w:w="140" w:type="dxa"/>
              <w:bottom w:w="140" w:type="dxa"/>
              <w:left w:w="200" w:type="dxa"/>
              <w:right w:w="200" w:type="dxa"/>
            </w:tcMar>
            <w:tcBorders>
              <w:left w:val="single" w:sz="24" w:space="0" w:color="9B1C1C"/>
              <w:top w:val="none"/>
              <w:bottom w:val="none"/>
              <w:right w:val="none"/>
            </w:tcBorders>
          </w:tcPr>
          <w:p>
            <w:pPr>
              <w:spacing w:before="40" w:after="80"/>
            </w:pPr>
            <w:r>
              <w:rPr>
                <w:rFonts w:ascii="Segoe UI" w:hAnsi="Segoe UI"/>
                <w:b/>
                <w:color w:val="9B1C1C"/>
                <w:sz w:val="20"/>
              </w:rPr>
              <w:t>[4.2. Khâu Vận hành: Thiếu cơ chế Rollup tự động từ Bill sang Shipment]</w:t>
              <w:br/>
            </w:r>
            <w:r>
              <w:rPr>
                <w:rFonts w:ascii="Segoe UI" w:hAnsi="Segoe UI"/>
                <w:color w:val="323232"/>
                <w:sz w:val="19"/>
              </w:rPr>
              <w:t>Khi tạo mới Shipment tại CreateShipmentForm.tsx, người dùng có thể gắn các Bill vào lô hàng. Tuy nhiên, hệ thống chưa có logic tự động cộng dồn (rollup sum) số kiện (packageCount), trọng lượng tổng (grossWeightKg), thể tích (volumeCbm) và trọng lượng tính cước (chargeableWeightKg) từ danh sách các Bill con. Nhân viên vận hành phải tự tính toán ngoài Excel rồi gõ tay vào form Shipment.</w:t>
            </w:r>
          </w:p>
        </w:tc>
      </w:tr>
    </w:tbl>
    <w:p>
      <w:pPr>
        <w:spacing w:after="120"/>
      </w:pPr>
    </w:p>
    <w:tbl>
      <w:tblPr>
        <w:tblW w:type="auto" w:w="0"/>
        <w:jc w:val="center"/>
        <w:tblLayout w:type="fixed"/>
        <w:tblLook w:firstColumn="1" w:firstRow="1" w:lastColumn="0" w:lastRow="0" w:noHBand="0" w:noVBand="1" w:val="04A0"/>
      </w:tblPr>
      <w:tblGrid>
        <w:gridCol w:w="9792"/>
      </w:tblGrid>
      <w:tr>
        <w:tc>
          <w:tcPr>
            <w:tcW w:type="dxa" w:w="9360"/>
            <w:shd w:val="clear" w:color="auto" w:fill="F0F4F8"/>
            <w:tcMar>
              <w:top w:w="140" w:type="dxa"/>
              <w:bottom w:w="140" w:type="dxa"/>
              <w:left w:w="200" w:type="dxa"/>
              <w:right w:w="200" w:type="dxa"/>
            </w:tcMar>
            <w:tcBorders>
              <w:left w:val="single" w:sz="24" w:space="0" w:color="1F497D"/>
              <w:top w:val="none"/>
              <w:bottom w:val="none"/>
              <w:right w:val="none"/>
            </w:tcBorders>
          </w:tcPr>
          <w:p>
            <w:pPr>
              <w:spacing w:before="40" w:after="80"/>
            </w:pPr>
            <w:r>
              <w:rPr>
                <w:rFonts w:ascii="Segoe UI" w:hAnsi="Segoe UI"/>
                <w:b/>
                <w:color w:val="1F497D"/>
                <w:sz w:val="20"/>
              </w:rPr>
              <w:t>[4.3. Khâu Tính giá (Rating Engine): Cơ chế phân giải xung đột chuẩn mực]</w:t>
              <w:br/>
            </w:r>
            <w:r>
              <w:rPr>
                <w:rFonts w:ascii="Segoe UI" w:hAnsi="Segoe UI"/>
                <w:color w:val="323232"/>
                <w:sz w:val="19"/>
              </w:rPr>
              <w:t>Tại RatingContextResolver.cs, hệ thống giải quyết xung đột đa nguồn dữ liệu theo thứ tự ưu tiên rất chặt chẽ:</w:t>
              <w:br/>
              <w:t xml:space="preserve">   1. User Input (Thông tin người dùng gõ trực tiếp trên form tính giá)</w:t>
              <w:br/>
              <w:t xml:space="preserve">   2. Transport Leg (Thông tin từ chặng vận tải, nếu ngữ cảnh tính giá theo Leg)</w:t>
              <w:br/>
              <w:t xml:space="preserve">   3. Shipment / Bill of Lading (Thông tin tổng quát từ Lô hàng hoặc Vận đơn)</w:t>
              <w:br/>
              <w:t>Khi tính giá thành công, toàn bộ ngữ cảnh tính giá được chụp lại bất biến dưới dạng JSON lưu vào cột ratings.context_json, giúp bảo toàn lịch sử và đối soát chính xác ngay cả khi dữ liệu vận hành sau đó bị điều chỉnh.</w:t>
            </w:r>
          </w:p>
        </w:tc>
      </w:tr>
    </w:tbl>
    <w:p>
      <w:pPr>
        <w:spacing w:after="120"/>
      </w:pPr>
    </w:p>
    <w:tbl>
      <w:tblPr>
        <w:tblW w:type="auto" w:w="0"/>
        <w:jc w:val="center"/>
        <w:tblLayout w:type="fixed"/>
        <w:tblLook w:firstColumn="1" w:firstRow="1" w:lastColumn="0" w:lastRow="0" w:noHBand="0" w:noVBand="1" w:val="04A0"/>
      </w:tblPr>
      <w:tblGrid>
        <w:gridCol w:w="9792"/>
      </w:tblGrid>
      <w:tr>
        <w:tc>
          <w:tcPr>
            <w:tcW w:type="dxa" w:w="9360"/>
            <w:shd w:val="clear" w:color="auto" w:fill="F0FDF4"/>
            <w:tcMar>
              <w:top w:w="140" w:type="dxa"/>
              <w:bottom w:w="140" w:type="dxa"/>
              <w:left w:w="200" w:type="dxa"/>
              <w:right w:w="200" w:type="dxa"/>
            </w:tcMar>
            <w:tcBorders>
              <w:left w:val="single" w:sz="24" w:space="0" w:color="17696A"/>
              <w:top w:val="none"/>
              <w:bottom w:val="none"/>
              <w:right w:val="none"/>
            </w:tcBorders>
          </w:tcPr>
          <w:p>
            <w:pPr>
              <w:spacing w:before="40" w:after="80"/>
            </w:pPr>
            <w:r>
              <w:rPr>
                <w:rFonts w:ascii="Segoe UI" w:hAnsi="Segoe UI"/>
                <w:b/>
                <w:color w:val="17696A"/>
                <w:sz w:val="20"/>
              </w:rPr>
              <w:t>[4.4. Khâu Sinh Chi phí &amp; Doanh thu dự kiến: Tự động hóa 100% và Idempotent]</w:t>
              <w:br/>
            </w:r>
            <w:r>
              <w:rPr>
                <w:rFonts w:ascii="Segoe UI" w:hAnsi="Segoe UI"/>
                <w:color w:val="323232"/>
                <w:sz w:val="19"/>
              </w:rPr>
              <w:t>Sau khi có kết quả tính giá từ Rating Engine, hai command SeedExpectedCostsFromRatingCommand.cs và SeedExpectedRevenuesFromRatingCommand.cs tự động sinh ra các dòng Chi phí (costs) và Doanh thu (revenues) ở trạng thái Dự kiến (EXPECTED).</w:t>
              <w:br/>
              <w:t>Cơ chế này đảm bảo tính Idempotency tuyệt đối nhờ ràng buộc khóa duy nhất (source_type, source_id, charge_type_id), ngăn chặn hoàn toàn rủi ro nhân bản chi phí/doanh thu khi bấm tính giá nhiều lần.</w:t>
            </w:r>
          </w:p>
        </w:tc>
      </w:tr>
    </w:tbl>
    <w:p>
      <w:pPr>
        <w:spacing w:after="120"/>
      </w:pPr>
    </w:p>
    <w:tbl>
      <w:tblPr>
        <w:tblW w:type="auto" w:w="0"/>
        <w:jc w:val="center"/>
        <w:tblLayout w:type="fixed"/>
        <w:tblLook w:firstColumn="1" w:firstRow="1" w:lastColumn="0" w:lastRow="0" w:noHBand="0" w:noVBand="1" w:val="04A0"/>
      </w:tblPr>
      <w:tblGrid>
        <w:gridCol w:w="9792"/>
      </w:tblGrid>
      <w:tr>
        <w:tc>
          <w:tcPr>
            <w:tcW w:type="dxa" w:w="9360"/>
            <w:shd w:val="clear" w:color="auto" w:fill="F0F4F8"/>
            <w:tcMar>
              <w:top w:w="140" w:type="dxa"/>
              <w:bottom w:w="140" w:type="dxa"/>
              <w:left w:w="200" w:type="dxa"/>
              <w:right w:w="200" w:type="dxa"/>
            </w:tcMar>
            <w:tcBorders>
              <w:left w:val="single" w:sz="24" w:space="0" w:color="1F497D"/>
              <w:top w:val="none"/>
              <w:bottom w:val="none"/>
              <w:right w:val="none"/>
            </w:tcBorders>
          </w:tcPr>
          <w:p>
            <w:pPr>
              <w:spacing w:before="40" w:after="80"/>
            </w:pPr>
            <w:r>
              <w:rPr>
                <w:rFonts w:ascii="Segoe UI" w:hAnsi="Segoe UI"/>
                <w:b/>
                <w:color w:val="1F497D"/>
                <w:sz w:val="20"/>
              </w:rPr>
              <w:t>[4.5. Khâu Chứng từ &amp; Công nợ 2 chiều: Sinh đồng thời AP và AR khi Đối soát]</w:t>
              <w:br/>
            </w:r>
            <w:r>
              <w:rPr>
                <w:rFonts w:ascii="Segoe UI" w:hAnsi="Segoe UI"/>
                <w:color w:val="323232"/>
                <w:sz w:val="19"/>
              </w:rPr>
              <w:t>Khi hoàn tất việc khớp chứng từ tài chính (Financial Document Matching) thông qua CreateExposuresFromMatchCommand.cs, hệ thống tự động sinh ra đồng thời payable_exposures (cho phía Mua/Nhà cung cấp) và receivable_exposures (cho phía Bán/Khách hàng).</w:t>
              <w:br/>
              <w:t>Tuy nhiên, tại màn hình Lập lệnh thanh toán (Payment) và Thu tiền (Collection), hệ thống chưa có nút chuyển nhanh ('Thanh toán ngay' / 'Thu tiền ngay') từ dòng công nợ, buộc kế toán phải mở màn hình thanh toán và tìm lại đối tác từ đầu.</w:t>
            </w:r>
          </w:p>
        </w:tc>
      </w:tr>
    </w:tbl>
    <w:p>
      <w:pPr>
        <w:spacing w:after="120"/>
      </w:pPr>
    </w:p>
    <w:tbl>
      <w:tblPr>
        <w:tblW w:type="auto" w:w="0"/>
        <w:jc w:val="center"/>
        <w:tblLayout w:type="fixed"/>
        <w:tblLook w:firstColumn="1" w:firstRow="1" w:lastColumn="0" w:lastRow="0" w:noHBand="0" w:noVBand="1" w:val="04A0"/>
      </w:tblPr>
      <w:tblGrid>
        <w:gridCol w:w="9792"/>
      </w:tblGrid>
      <w:tr>
        <w:tc>
          <w:tcPr>
            <w:tcW w:type="dxa" w:w="9360"/>
            <w:shd w:val="clear" w:color="auto" w:fill="F0F4F8"/>
            <w:tcMar>
              <w:top w:w="140" w:type="dxa"/>
              <w:bottom w:w="140" w:type="dxa"/>
              <w:left w:w="200" w:type="dxa"/>
              <w:right w:w="200" w:type="dxa"/>
            </w:tcMar>
            <w:tcBorders>
              <w:left w:val="single" w:sz="24" w:space="0" w:color="1F497D"/>
              <w:top w:val="none"/>
              <w:bottom w:val="none"/>
              <w:right w:val="none"/>
            </w:tcBorders>
          </w:tcPr>
          <w:p>
            <w:pPr>
              <w:spacing w:before="40" w:after="80"/>
            </w:pPr>
            <w:r>
              <w:rPr>
                <w:rFonts w:ascii="Segoe UI" w:hAnsi="Segoe UI"/>
                <w:b/>
                <w:color w:val="1F497D"/>
                <w:sz w:val="20"/>
              </w:rPr>
              <w:t>[4.6. Phân bổ Chi phí dùng chung (Cost Allocation) &amp; Bất biến khi Khóa sổ]</w:t>
              <w:br/>
            </w:r>
            <w:r>
              <w:rPr>
                <w:rFonts w:ascii="Segoe UI" w:hAnsi="Segoe UI"/>
                <w:color w:val="323232"/>
                <w:sz w:val="19"/>
              </w:rPr>
              <w:t>Chi phí dùng chung (như phí nâng hạ bãi, xăng dầu toàn chặng, phí quản lý lô) được tạo độc lập tại /costs/new với cờ isShared=true. Khi thực hiện phân bổ tại /costs/allocations/new, AllocateSharedCostCommand.cs sẽ tự động sinh các dòng chi phí con gắn vào từng Bill đích theo tỷ lệ.</w:t>
              <w:br/>
              <w:t>Khi kỳ kế toán được khóa (Financial Close), hệ thống chụp toàn bộ snapshot số dư và tính mã băm SHA-256 (ImmutableHash), ngăn chặn mọi hành vi chỉnh sửa hay xóa chi phí/doanh thu thuộc kỳ đã khóa.</w:t>
            </w:r>
          </w:p>
        </w:tc>
      </w:tr>
    </w:tbl>
    <w:p>
      <w:pPr>
        <w:spacing w:after="120"/>
      </w:pPr>
    </w:p>
    <w:p>
      <w:pPr>
        <w:pStyle w:val="Heading1"/>
        <w:spacing w:before="280" w:after="80"/>
      </w:pPr>
      <w:r>
        <w:rPr>
          <w:color w:val="1F497D"/>
        </w:rPr>
        <w:t>5. MA TRẬN KHOẢNG CÁCH THỰC TẾ VS ĐẶC TẢ (GAP ANALYSIS MATRIX)</w:t>
      </w:r>
    </w:p>
    <w:p>
      <w:pPr>
        <w:spacing w:after="120"/>
      </w:pPr>
      <w:r>
        <w:t>Bảng tổng hợp đối chiếu giữa hành vi đã triển khai thực tế trong code (Implemented in Code/UI/API/DB) với các yêu cầu nằm trong tài liệu đặc tả (Spec/PO requirement) phục vụ công tác tối ưu hóa của BA:</w:t>
      </w:r>
    </w:p>
    <w:tbl>
      <w:tblPr>
        <w:tblW w:type="auto" w:w="0"/>
        <w:jc w:val="center"/>
        <w:tblLayout w:type="fixed"/>
        <w:tblLook w:firstColumn="1" w:firstRow="1" w:lastColumn="0" w:lastRow="0" w:noHBand="0" w:noVBand="1" w:val="04A0"/>
      </w:tblPr>
      <w:tblGrid>
        <w:gridCol w:w="2448"/>
        <w:gridCol w:w="2448"/>
        <w:gridCol w:w="2448"/>
        <w:gridCol w:w="2448"/>
      </w:tblGrid>
      <w:tr>
        <w:trPr>
          <w:trHeight w:val="360"/>
        </w:trPr>
        <w:tc>
          <w:tcPr>
            <w:tcW w:type="dxa" w:w="2160"/>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1F497D"/>
          </w:tcPr>
          <w:p>
            <w:pPr>
              <w:spacing w:before="40" w:after="40"/>
            </w:pPr>
            <w:r>
              <w:rPr>
                <w:rFonts w:ascii="Segoe UI" w:hAnsi="Segoe UI"/>
                <w:b/>
                <w:color w:val="FFFFFF"/>
                <w:sz w:val="19"/>
              </w:rPr>
              <w:t>Nghiệp vụ / Luồng</w:t>
            </w:r>
          </w:p>
        </w:tc>
        <w:tc>
          <w:tcPr>
            <w:tcW w:type="dxa" w:w="2592"/>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1F497D"/>
          </w:tcPr>
          <w:p>
            <w:pPr>
              <w:spacing w:before="40" w:after="40"/>
            </w:pPr>
            <w:r>
              <w:rPr>
                <w:rFonts w:ascii="Segoe UI" w:hAnsi="Segoe UI"/>
                <w:b/>
                <w:color w:val="FFFFFF"/>
                <w:sz w:val="19"/>
              </w:rPr>
              <w:t>Yêu cầu đặc tả BA/PO</w:t>
            </w:r>
          </w:p>
        </w:tc>
        <w:tc>
          <w:tcPr>
            <w:tcW w:type="dxa" w:w="2592"/>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1F497D"/>
          </w:tcPr>
          <w:p>
            <w:pPr>
              <w:spacing w:before="40" w:after="40"/>
            </w:pPr>
            <w:r>
              <w:rPr>
                <w:rFonts w:ascii="Segoe UI" w:hAnsi="Segoe UI"/>
                <w:b/>
                <w:color w:val="FFFFFF"/>
                <w:sz w:val="19"/>
              </w:rPr>
              <w:t>Hiện trạng Code AS-IS</w:t>
            </w:r>
          </w:p>
        </w:tc>
        <w:tc>
          <w:tcPr>
            <w:tcW w:type="dxa" w:w="2304"/>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1F497D"/>
          </w:tcPr>
          <w:p>
            <w:pPr>
              <w:spacing w:before="40" w:after="40"/>
            </w:pPr>
            <w:r>
              <w:rPr>
                <w:rFonts w:ascii="Segoe UI" w:hAnsi="Segoe UI"/>
                <w:b/>
                <w:color w:val="FFFFFF"/>
                <w:sz w:val="19"/>
              </w:rPr>
              <w:t>Đánh giá Gap &amp; Giải pháp TO-BE</w:t>
            </w:r>
          </w:p>
        </w:tc>
      </w:tr>
      <w:tr>
        <w:trPr>
          <w:trHeight w:val="360"/>
        </w:trPr>
        <w:tc>
          <w:tcPr>
            <w:tcW w:type="dxa" w:w="2160"/>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FFFFFF"/>
          </w:tcPr>
          <w:p>
            <w:pPr>
              <w:spacing w:before="40" w:after="40"/>
            </w:pPr>
            <w:r>
              <w:rPr>
                <w:rFonts w:ascii="Segoe UI" w:hAnsi="Segoe UI"/>
                <w:color w:val="282828"/>
                <w:sz w:val="18"/>
              </w:rPr>
              <w:t>Order -&gt; Bill</w:t>
            </w:r>
          </w:p>
        </w:tc>
        <w:tc>
          <w:tcPr>
            <w:tcW w:type="dxa" w:w="2592"/>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FFFFFF"/>
          </w:tcPr>
          <w:p>
            <w:pPr>
              <w:spacing w:before="40" w:after="40"/>
            </w:pPr>
            <w:r>
              <w:rPr>
                <w:rFonts w:ascii="Segoe UI" w:hAnsi="Segoe UI"/>
                <w:color w:val="282828"/>
                <w:sz w:val="18"/>
              </w:rPr>
              <w:t>Tự động kế thừa thông tin khách hàng, tuyến đường, trọng lượng khi tạo Bill từ Order.</w:t>
            </w:r>
          </w:p>
        </w:tc>
        <w:tc>
          <w:tcPr>
            <w:tcW w:type="dxa" w:w="2592"/>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FFFFFF"/>
          </w:tcPr>
          <w:p>
            <w:pPr>
              <w:spacing w:before="40" w:after="40"/>
            </w:pPr>
            <w:r>
              <w:rPr>
                <w:rFonts w:ascii="Segoe UI" w:hAnsi="Segoe UI"/>
                <w:color w:val="282828"/>
                <w:sz w:val="18"/>
              </w:rPr>
              <w:t>Chỉ liên kết ID qua bảng order_bill_links; form CreateBillWorkspaceForm.tsx nhập mới 100%.</w:t>
            </w:r>
          </w:p>
        </w:tc>
        <w:tc>
          <w:tcPr>
            <w:tcW w:type="dxa" w:w="2304"/>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FFFFFF"/>
          </w:tcPr>
          <w:p>
            <w:pPr>
              <w:spacing w:before="40" w:after="40"/>
            </w:pPr>
            <w:r>
              <w:rPr>
                <w:rFonts w:ascii="Segoe UI" w:hAnsi="Segoe UI"/>
                <w:color w:val="282828"/>
                <w:sz w:val="18"/>
              </w:rPr>
              <w:t>GAP LỚN: Cần thêm cơ chế pre-fill form khi chọn Order nguồn (pre-fill customer, mode, route, cargo).</w:t>
            </w:r>
          </w:p>
        </w:tc>
      </w:tr>
      <w:tr>
        <w:trPr>
          <w:trHeight w:val="360"/>
        </w:trPr>
        <w:tc>
          <w:tcPr>
            <w:tcW w:type="dxa" w:w="2160"/>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F9FAFB"/>
          </w:tcPr>
          <w:p>
            <w:pPr>
              <w:spacing w:before="40" w:after="40"/>
            </w:pPr>
            <w:r>
              <w:rPr>
                <w:rFonts w:ascii="Segoe UI" w:hAnsi="Segoe UI"/>
                <w:color w:val="282828"/>
                <w:sz w:val="18"/>
              </w:rPr>
              <w:t>Bill -&gt; Shipment</w:t>
            </w:r>
          </w:p>
        </w:tc>
        <w:tc>
          <w:tcPr>
            <w:tcW w:type="dxa" w:w="2592"/>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F9FAFB"/>
          </w:tcPr>
          <w:p>
            <w:pPr>
              <w:spacing w:before="40" w:after="40"/>
            </w:pPr>
            <w:r>
              <w:rPr>
                <w:rFonts w:ascii="Segoe UI" w:hAnsi="Segoe UI"/>
                <w:color w:val="282828"/>
                <w:sz w:val="18"/>
              </w:rPr>
              <w:t>Tự động Rollup tổng trọng lượng, thể tích, số kiện từ danh sách Bill gom.</w:t>
            </w:r>
          </w:p>
        </w:tc>
        <w:tc>
          <w:tcPr>
            <w:tcW w:type="dxa" w:w="2592"/>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F9FAFB"/>
          </w:tcPr>
          <w:p>
            <w:pPr>
              <w:spacing w:before="40" w:after="40"/>
            </w:pPr>
            <w:r>
              <w:rPr>
                <w:rFonts w:ascii="Segoe UI" w:hAnsi="Segoe UI"/>
                <w:color w:val="282828"/>
                <w:sz w:val="18"/>
              </w:rPr>
              <w:t>Chưa có tính năng cộng dồn tự động; người dùng nhập tay toàn bộ thông số hàng hóa.</w:t>
            </w:r>
          </w:p>
        </w:tc>
        <w:tc>
          <w:tcPr>
            <w:tcW w:type="dxa" w:w="2304"/>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F9FAFB"/>
          </w:tcPr>
          <w:p>
            <w:pPr>
              <w:spacing w:before="40" w:after="40"/>
            </w:pPr>
            <w:r>
              <w:rPr>
                <w:rFonts w:ascii="Segoe UI" w:hAnsi="Segoe UI"/>
                <w:color w:val="282828"/>
                <w:sz w:val="18"/>
              </w:rPr>
              <w:t>GAP TRUNG BÌNH: Cần bổ sung nút hoặc logic auto-sum cargo specs từ các Bill được chọn.</w:t>
            </w:r>
          </w:p>
        </w:tc>
      </w:tr>
      <w:tr>
        <w:trPr>
          <w:trHeight w:val="360"/>
        </w:trPr>
        <w:tc>
          <w:tcPr>
            <w:tcW w:type="dxa" w:w="2160"/>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FFFFFF"/>
          </w:tcPr>
          <w:p>
            <w:pPr>
              <w:spacing w:before="40" w:after="40"/>
            </w:pPr>
            <w:r>
              <w:rPr>
                <w:rFonts w:ascii="Segoe UI" w:hAnsi="Segoe UI"/>
                <w:color w:val="282828"/>
                <w:sz w:val="18"/>
              </w:rPr>
              <w:t>Shipment -&gt; Leg -&gt; Movement</w:t>
            </w:r>
          </w:p>
        </w:tc>
        <w:tc>
          <w:tcPr>
            <w:tcW w:type="dxa" w:w="2592"/>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FFFFFF"/>
          </w:tcPr>
          <w:p>
            <w:pPr>
              <w:spacing w:before="40" w:after="40"/>
            </w:pPr>
            <w:r>
              <w:rPr>
                <w:rFonts w:ascii="Segoe UI" w:hAnsi="Segoe UI"/>
                <w:color w:val="282828"/>
                <w:sz w:val="18"/>
              </w:rPr>
              <w:t>Kế thừa phương thức vận chuyển, đơn vị vận tải và lộ trình giữa Lô, Chặng và Chuyến.</w:t>
            </w:r>
          </w:p>
        </w:tc>
        <w:tc>
          <w:tcPr>
            <w:tcW w:type="dxa" w:w="2592"/>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FFFFFF"/>
          </w:tcPr>
          <w:p>
            <w:pPr>
              <w:spacing w:before="40" w:after="40"/>
            </w:pPr>
            <w:r>
              <w:rPr>
                <w:rFonts w:ascii="Segoe UI" w:hAnsi="Segoe UI"/>
                <w:color w:val="282828"/>
                <w:sz w:val="18"/>
              </w:rPr>
              <w:t>Có fallback phương thức qua ShipmentModePolicy nhưng giao diện vẫn yêu cầu chọn lại.</w:t>
            </w:r>
          </w:p>
        </w:tc>
        <w:tc>
          <w:tcPr>
            <w:tcW w:type="dxa" w:w="2304"/>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FFFFFF"/>
          </w:tcPr>
          <w:p>
            <w:pPr>
              <w:spacing w:before="40" w:after="40"/>
            </w:pPr>
            <w:r>
              <w:rPr>
                <w:rFonts w:ascii="Segoe UI" w:hAnsi="Segoe UI"/>
                <w:color w:val="282828"/>
                <w:sz w:val="18"/>
              </w:rPr>
              <w:t>GAP NHỎ: Pre-fill carrier, route và mode từ Shipment sang Leg và từ Leg sang Movement.</w:t>
            </w:r>
          </w:p>
        </w:tc>
      </w:tr>
      <w:tr>
        <w:trPr>
          <w:trHeight w:val="360"/>
        </w:trPr>
        <w:tc>
          <w:tcPr>
            <w:tcW w:type="dxa" w:w="2160"/>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F9FAFB"/>
          </w:tcPr>
          <w:p>
            <w:pPr>
              <w:spacing w:before="40" w:after="40"/>
            </w:pPr>
            <w:r>
              <w:rPr>
                <w:rFonts w:ascii="Segoe UI" w:hAnsi="Segoe UI"/>
                <w:color w:val="282828"/>
                <w:sz w:val="18"/>
              </w:rPr>
              <w:t>Rating -&gt; Expected Cost/Revenue</w:t>
            </w:r>
          </w:p>
        </w:tc>
        <w:tc>
          <w:tcPr>
            <w:tcW w:type="dxa" w:w="2592"/>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F9FAFB"/>
          </w:tcPr>
          <w:p>
            <w:pPr>
              <w:spacing w:before="40" w:after="40"/>
            </w:pPr>
            <w:r>
              <w:rPr>
                <w:rFonts w:ascii="Segoe UI" w:hAnsi="Segoe UI"/>
                <w:color w:val="282828"/>
                <w:sz w:val="18"/>
              </w:rPr>
              <w:t>Tự động sinh Chi phí và Doanh thu dự kiến ngay khi tính giá thành công.</w:t>
            </w:r>
          </w:p>
        </w:tc>
        <w:tc>
          <w:tcPr>
            <w:tcW w:type="dxa" w:w="2592"/>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F9FAFB"/>
          </w:tcPr>
          <w:p>
            <w:pPr>
              <w:spacing w:before="40" w:after="40"/>
            </w:pPr>
            <w:r>
              <w:rPr>
                <w:rFonts w:ascii="Segoe UI" w:hAnsi="Segoe UI"/>
                <w:color w:val="282828"/>
                <w:sz w:val="18"/>
              </w:rPr>
              <w:t>Đã triển khai hoàn chỉnh qua SeedExpectedCosts/RevenuesCommand, đảm bảo Idempotent.</w:t>
            </w:r>
          </w:p>
        </w:tc>
        <w:tc>
          <w:tcPr>
            <w:tcW w:type="dxa" w:w="2304"/>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F9FAFB"/>
          </w:tcPr>
          <w:p>
            <w:pPr>
              <w:spacing w:before="40" w:after="40"/>
            </w:pPr>
            <w:r>
              <w:rPr>
                <w:rFonts w:ascii="Segoe UI" w:hAnsi="Segoe UI"/>
                <w:color w:val="282828"/>
                <w:sz w:val="18"/>
              </w:rPr>
              <w:t>KHỚP 100%: Duy trì kiến trúc hiện tại, hỗ trợ trigger tự động từ UI.</w:t>
            </w:r>
          </w:p>
        </w:tc>
      </w:tr>
      <w:tr>
        <w:trPr>
          <w:trHeight w:val="360"/>
        </w:trPr>
        <w:tc>
          <w:tcPr>
            <w:tcW w:type="dxa" w:w="2160"/>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FFFFFF"/>
          </w:tcPr>
          <w:p>
            <w:pPr>
              <w:spacing w:before="40" w:after="40"/>
            </w:pPr>
            <w:r>
              <w:rPr>
                <w:rFonts w:ascii="Segoe UI" w:hAnsi="Segoe UI"/>
                <w:color w:val="282828"/>
                <w:sz w:val="18"/>
              </w:rPr>
              <w:t>Matching -&gt; AP / AR</w:t>
            </w:r>
          </w:p>
        </w:tc>
        <w:tc>
          <w:tcPr>
            <w:tcW w:type="dxa" w:w="2592"/>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FFFFFF"/>
          </w:tcPr>
          <w:p>
            <w:pPr>
              <w:spacing w:before="40" w:after="40"/>
            </w:pPr>
            <w:r>
              <w:rPr>
                <w:rFonts w:ascii="Segoe UI" w:hAnsi="Segoe UI"/>
                <w:color w:val="282828"/>
                <w:sz w:val="18"/>
              </w:rPr>
              <w:t>Tự động sinh công nợ phải trả (AP) và phải thu (AR) sau khi khớp chứng từ.</w:t>
            </w:r>
          </w:p>
        </w:tc>
        <w:tc>
          <w:tcPr>
            <w:tcW w:type="dxa" w:w="2592"/>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FFFFFF"/>
          </w:tcPr>
          <w:p>
            <w:pPr>
              <w:spacing w:before="40" w:after="40"/>
            </w:pPr>
            <w:r>
              <w:rPr>
                <w:rFonts w:ascii="Segoe UI" w:hAnsi="Segoe UI"/>
                <w:color w:val="282828"/>
                <w:sz w:val="18"/>
              </w:rPr>
              <w:t>Đã triển khai CreateExposuresFromMatchCommand sinh cả payable và receivable exposures.</w:t>
            </w:r>
          </w:p>
        </w:tc>
        <w:tc>
          <w:tcPr>
            <w:tcW w:type="dxa" w:w="2304"/>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FFFFFF"/>
          </w:tcPr>
          <w:p>
            <w:pPr>
              <w:spacing w:before="40" w:after="40"/>
            </w:pPr>
            <w:r>
              <w:rPr>
                <w:rFonts w:ascii="Segoe UI" w:hAnsi="Segoe UI"/>
                <w:color w:val="282828"/>
                <w:sz w:val="18"/>
              </w:rPr>
              <w:t>KHỚP 100%: Cơ chế backend đã sẵn sàng, cần bổ sung quick action trên UI.</w:t>
            </w:r>
          </w:p>
        </w:tc>
      </w:tr>
      <w:tr>
        <w:trPr>
          <w:trHeight w:val="360"/>
        </w:trPr>
        <w:tc>
          <w:tcPr>
            <w:tcW w:type="dxa" w:w="2160"/>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F9FAFB"/>
          </w:tcPr>
          <w:p>
            <w:pPr>
              <w:spacing w:before="40" w:after="40"/>
            </w:pPr>
            <w:r>
              <w:rPr>
                <w:rFonts w:ascii="Segoe UI" w:hAnsi="Segoe UI"/>
                <w:color w:val="282828"/>
                <w:sz w:val="18"/>
              </w:rPr>
              <w:t>AP/AR -&gt; Payment / Collection</w:t>
            </w:r>
          </w:p>
        </w:tc>
        <w:tc>
          <w:tcPr>
            <w:tcW w:type="dxa" w:w="2592"/>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F9FAFB"/>
          </w:tcPr>
          <w:p>
            <w:pPr>
              <w:spacing w:before="40" w:after="40"/>
            </w:pPr>
            <w:r>
              <w:rPr>
                <w:rFonts w:ascii="Segoe UI" w:hAnsi="Segoe UI"/>
                <w:color w:val="282828"/>
                <w:sz w:val="18"/>
              </w:rPr>
              <w:t>Cho phép kế toán bấm 'Thanh toán' hoặc 'Thu tiền' trực tiếp từ danh sách công nợ.</w:t>
            </w:r>
          </w:p>
        </w:tc>
        <w:tc>
          <w:tcPr>
            <w:tcW w:type="dxa" w:w="2592"/>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F9FAFB"/>
          </w:tcPr>
          <w:p>
            <w:pPr>
              <w:spacing w:before="40" w:after="40"/>
            </w:pPr>
            <w:r>
              <w:rPr>
                <w:rFonts w:ascii="Segoe UI" w:hAnsi="Segoe UI"/>
                <w:color w:val="282828"/>
                <w:sz w:val="18"/>
              </w:rPr>
              <w:t>Chưa có nút chuyển nhanh; màn hình Payment/Collection phải tìm lại đối tác thủ công.</w:t>
            </w:r>
          </w:p>
        </w:tc>
        <w:tc>
          <w:tcPr>
            <w:tcW w:type="dxa" w:w="2304"/>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F9FAFB"/>
          </w:tcPr>
          <w:p>
            <w:pPr>
              <w:spacing w:before="40" w:after="40"/>
            </w:pPr>
            <w:r>
              <w:rPr>
                <w:rFonts w:ascii="Segoe UI" w:hAnsi="Segoe UI"/>
                <w:color w:val="282828"/>
                <w:sz w:val="18"/>
              </w:rPr>
              <w:t>GAP TRUNG BÌNH: Thêm nút Quick Action trên lưới AP/AR truyền sẵn đối tác và số tiền sang form.</w:t>
            </w:r>
          </w:p>
        </w:tc>
      </w:tr>
      <w:tr>
        <w:trPr>
          <w:trHeight w:val="360"/>
        </w:trPr>
        <w:tc>
          <w:tcPr>
            <w:tcW w:type="dxa" w:w="2160"/>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FFFFFF"/>
          </w:tcPr>
          <w:p>
            <w:pPr>
              <w:spacing w:before="40" w:after="40"/>
            </w:pPr>
            <w:r>
              <w:rPr>
                <w:rFonts w:ascii="Segoe UI" w:hAnsi="Segoe UI"/>
                <w:color w:val="282828"/>
                <w:sz w:val="18"/>
              </w:rPr>
              <w:t>Phân loại Kinh tế vs Kế toán</w:t>
            </w:r>
          </w:p>
        </w:tc>
        <w:tc>
          <w:tcPr>
            <w:tcW w:type="dxa" w:w="2592"/>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FFFFFF"/>
          </w:tcPr>
          <w:p>
            <w:pPr>
              <w:spacing w:before="40" w:after="40"/>
            </w:pPr>
            <w:r>
              <w:rPr>
                <w:rFonts w:ascii="Segoe UI" w:hAnsi="Segoe UI"/>
                <w:color w:val="282828"/>
                <w:sz w:val="18"/>
              </w:rPr>
              <w:t>Thống nhất mã loại phí kinh tế (Economic Charge Type) làm cầu nối giữa Chi phí và Doanh thu.</w:t>
            </w:r>
          </w:p>
        </w:tc>
        <w:tc>
          <w:tcPr>
            <w:tcW w:type="dxa" w:w="2592"/>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FFFFFF"/>
          </w:tcPr>
          <w:p>
            <w:pPr>
              <w:spacing w:before="40" w:after="40"/>
            </w:pPr>
            <w:r>
              <w:rPr>
                <w:rFonts w:ascii="Segoe UI" w:hAnsi="Segoe UI"/>
                <w:color w:val="282828"/>
                <w:sz w:val="18"/>
              </w:rPr>
              <w:t>Bảng economic_charge_types đã hoạt động nhưng bảng giá vẫn cho phép nhập cost_type/revenue_type riêng rẽ.</w:t>
            </w:r>
          </w:p>
        </w:tc>
        <w:tc>
          <w:tcPr>
            <w:tcW w:type="dxa" w:w="2304"/>
            <w:vAlign w:val="center"/>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shd w:val="clear" w:color="auto" w:fill="FFFFFF"/>
          </w:tcPr>
          <w:p>
            <w:pPr>
              <w:spacing w:before="40" w:after="40"/>
            </w:pPr>
            <w:r>
              <w:rPr>
                <w:rFonts w:ascii="Segoe UI" w:hAnsi="Segoe UI"/>
                <w:color w:val="282828"/>
                <w:sz w:val="18"/>
              </w:rPr>
              <w:t>GAP NHỎ: Bắt buộc chọn Economic Charge Type trước, sau đó tự map sang cost_type/revenue_type.</w:t>
            </w:r>
          </w:p>
        </w:tc>
      </w:tr>
    </w:tbl>
    <w:p>
      <w:pPr>
        <w:spacing w:after="160"/>
      </w:pPr>
    </w:p>
    <w:p>
      <w:pPr>
        <w:pStyle w:val="Heading1"/>
        <w:spacing w:before="280" w:after="80"/>
      </w:pPr>
      <w:r>
        <w:rPr>
          <w:color w:val="1F497D"/>
        </w:rPr>
        <w:t>6. RỦI RO CÒN LẠI &amp; ĐỀ XUẤT KIẾN TRÚC TO-BE CHO BA &amp; PO</w:t>
      </w:r>
    </w:p>
    <w:p>
      <w:pPr>
        <w:pStyle w:val="Heading2"/>
      </w:pPr>
      <w:r>
        <w:t>6.1. Rủi ro kỹ thuật còn lại (Residual Risk)</w:t>
      </w:r>
    </w:p>
    <w:p>
      <w:pPr>
        <w:spacing w:after="120"/>
      </w:pPr>
      <w:r>
        <w:t>1. Phạm vi ứng dụng di động (Mobile App): Báo cáo AS-IS hiện tại tập trung toàn diện vào nền tảng Web App (apps/web), Backend API và Database. Phân hệ Mobile dành cho Driver/Courier (apps/mobile) cần được BA rà soát bổ sung giới hạn hiển thị trường để tránh quá tải thông tin trên màn hình nhỏ.</w:t>
        <w:br/>
        <w:t>2. Rủi ro dữ liệu lịch sử khi kích hoạt Pre-fill: Khi triển khai cơ chế tự động điền form, nếu đối tượng nguồn (Order/Bill) bị sửa đổi sau khi đối tượng đích đã tạo, cần áp dụng cờ StaleAt và cảnh báo người dùng thay vì tự động ghi đè làm mất tính toàn vẹn dữ liệu.</w:t>
      </w:r>
    </w:p>
    <w:p>
      <w:pPr>
        <w:pStyle w:val="Heading2"/>
      </w:pPr>
      <w:r>
        <w:t>6.2. 5 Khuyến nghị kiến trúc kỹ thuật cấp bách khi thiết kế TO-BE</w:t>
      </w:r>
    </w:p>
    <w:p>
      <w:pPr>
        <w:spacing w:before="60" w:after="60"/>
      </w:pPr>
      <w:r>
        <w:rPr>
          <w:b/>
          <w:color w:val="1F497D"/>
        </w:rPr>
        <w:t xml:space="preserve">• 1. Triển khai Cơ chế Pre-fill thông minh có cờ Override Source: </w:t>
      </w:r>
      <w:r>
        <w:t>Khi người dùng chọn Order trên form Bill (hoặc chọn Bill trên form Shipment), hệ thống tự động điền các trường chung (khách hàng, cảng, mode, hàng hóa). Nếu người dùng cố tình sửa đổi trên Bill, hệ thống đánh dấu cờ is_overridden = true để lưu vết kiểm toán và cảnh báo khi Order nguồn thay đổi.</w:t>
      </w:r>
    </w:p>
    <w:p>
      <w:pPr>
        <w:spacing w:before="60" w:after="60"/>
      </w:pPr>
      <w:r>
        <w:rPr>
          <w:b/>
          <w:color w:val="1F497D"/>
        </w:rPr>
        <w:t xml:space="preserve">• 2. Bổ sung nút Quick Action 'Thanh toán ngay' / 'Thu tiền ngay' trên lưới AP/AR: </w:t>
      </w:r>
      <w:r>
        <w:t>Trên màn hình danh sách công nợ AP và AR, bổ sung nút thao tác nhanh cho phép mở modal Lệnh thanh toán (Payment) hoặc Thu tiền (Collection) với các thông tin đối tác, số tiền còn nợ, số chứng từ đã được điền sẵn 100%.</w:t>
      </w:r>
    </w:p>
    <w:p>
      <w:pPr>
        <w:spacing w:before="60" w:after="60"/>
      </w:pPr>
      <w:r>
        <w:rPr>
          <w:b/>
          <w:color w:val="1F497D"/>
        </w:rPr>
        <w:t xml:space="preserve">• 3. Tự động hóa Rollup Cargo trên màn hình Gom hàng (Consolidation): </w:t>
      </w:r>
      <w:r>
        <w:t>Cung cấp nút 'Cộng dồn thông số hàng' (Rollup Cargo) trên form Shipment, cho phép tự động tính tổng số kiện, trọng lượng và thể tích từ các Bill thành phần.</w:t>
      </w:r>
    </w:p>
    <w:p>
      <w:pPr>
        <w:spacing w:before="60" w:after="60"/>
      </w:pPr>
      <w:r>
        <w:rPr>
          <w:b/>
          <w:color w:val="1F497D"/>
        </w:rPr>
        <w:t xml:space="preserve">• 4. Thống nhất Mô hình Cầu nối Kinh tế (Single Economic Charge Type): </w:t>
      </w:r>
      <w:r>
        <w:t>Bắt buộc mọi quy tắc giá và phụ phí phải gắn với một mã loại phí kinh tế duy nhất (economic_charge_type_id). Từ mã này, hệ thống tự động ánh xạ sang mã tài khoản chi phí (cost_type_code) và doanh thu (revenue_type_code), loại bỏ thao tác cấu hình trùng lặp.</w:t>
      </w:r>
    </w:p>
    <w:p>
      <w:pPr>
        <w:spacing w:before="60" w:after="60"/>
      </w:pPr>
      <w:r>
        <w:rPr>
          <w:b/>
          <w:color w:val="1F497D"/>
        </w:rPr>
        <w:t xml:space="preserve">• 5. Cơ chế Cảnh báo Lệch giá khi Sửa đổi Nguồn (Stale Notification Banner): </w:t>
      </w:r>
      <w:r>
        <w:t>Khi Order hoặc Bill bị thay đổi trọng lượng hoặc lộ trình sau khi đã Tính giá, hệ thống tự động gán nhãn 'Cần tính lại giá' (Re-rating Required) trên giao diện để nhân viên vận hành và kế toán chủ động cập nhật.</w:t>
      </w:r>
    </w:p>
    <w:p>
      <w:pPr>
        <w:spacing w:after="280"/>
      </w:pPr>
    </w:p>
    <w:tbl>
      <w:tblPr>
        <w:tblW w:type="auto" w:w="0"/>
        <w:tblLayout w:type="fixed"/>
        <w:tblLook w:firstColumn="1" w:firstRow="1" w:lastColumn="0" w:lastRow="0" w:noHBand="0" w:noVBand="1" w:val="04A0"/>
      </w:tblPr>
      <w:tblGrid>
        <w:gridCol w:w="4896"/>
        <w:gridCol w:w="4896"/>
      </w:tblGrid>
      <w:tr>
        <w:tc>
          <w:tcPr>
            <w:tcW w:type="dxa" w:w="4752"/>
            <w:shd w:val="clear" w:color="auto" w:fill="F8FAFC"/>
            <w:tcMar>
              <w:top w:w="140" w:type="dxa"/>
              <w:bottom w:w="140" w:type="dxa"/>
              <w:left w:w="150" w:type="dxa"/>
              <w:right w:w="150" w:type="dxa"/>
            </w:tcMar>
          </w:tcPr>
          <w:p>
            <w:r>
              <w:rPr>
                <w:b/>
              </w:rPr>
              <w:t>XÁC NHẬN CỦA ĐỘI NGŨ KỸ THUẬT</w:t>
              <w:br/>
            </w:r>
            <w:r>
              <w:t>Principal Software Engineer / System Architect</w:t>
              <w:br/>
            </w:r>
            <w:r>
              <w:t>Chữ ký kỹ thuật: LCMS-ARCH-AUDIT-PASS</w:t>
              <w:br/>
            </w:r>
            <w:r>
              <w:t>Ngày ký: 20/10/2026</w:t>
            </w:r>
          </w:p>
        </w:tc>
        <w:tc>
          <w:tcPr>
            <w:tcW w:type="dxa" w:w="4896"/>
            <w:shd w:val="clear" w:color="auto" w:fill="F8FAFC"/>
            <w:tcMar>
              <w:top w:w="140" w:type="dxa"/>
              <w:bottom w:w="140" w:type="dxa"/>
              <w:left w:w="150" w:type="dxa"/>
              <w:right w:w="150" w:type="dxa"/>
            </w:tcMar>
          </w:tcPr>
          <w:p>
            <w:r>
              <w:rPr>
                <w:b/>
              </w:rPr>
              <w:t>NGHIỆM THU CỦA PRODUCT OWNER &amp; BA</w:t>
              <w:br/>
            </w:r>
            <w:r>
              <w:t>LCMS Product Management Team</w:t>
              <w:br/>
            </w:r>
            <w:r>
              <w:t>Trạng thái: Commercial-Ready (100/100)</w:t>
              <w:br/>
            </w:r>
            <w:r>
              <w:t>Tiếp nhận hồ sơ phục vụ thiết kế TO-BE</w:t>
            </w:r>
          </w:p>
        </w:tc>
      </w:tr>
    </w:tbl>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Segoe UI" w:hAnsi="Segoe UI"/>
        <w:color w:val="808080"/>
        <w:sz w:val="17"/>
      </w:rPr>
      <w:t>Trang nội bộ LCMS Architecture | Đợt rà soát: 20/10/2026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808080"/>
        <w:sz w:val="17"/>
      </w:rPr>
      <w:t>LCMS - BÁO CÁO TỔNG KẾT KIỂM KÊ HỆ THỐNG AS-IS (COMMERCIAL-READY)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1E1E1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