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4470"/>
          <w:sz w:val="50"/>
        </w:rPr>
        <w:t>LCMS</w:t>
      </w:r>
    </w:p>
    <w:p>
      <w:pPr>
        <w:jc w:val="center"/>
      </w:pPr>
      <w:r>
        <w:rPr>
          <w:b/>
          <w:color w:val="113253"/>
          <w:sz w:val="36"/>
        </w:rPr>
        <w:t>DATA ENTRY OPTIMIZATION</w:t>
        <w:br/>
        <w:t>&amp; INHERITANCE BLUEPRINT</w:t>
      </w:r>
    </w:p>
    <w:p>
      <w:pPr>
        <w:jc w:val="center"/>
      </w:pPr>
      <w:r>
        <w:rPr>
          <w:i/>
        </w:rPr>
        <w:t>Đặc tả TO-BE giảm nhập liệu trùng lặp xuyên suốt LCMS</w:t>
      </w:r>
    </w:p>
    <w:tbl>
      <w:tblPr>
        <w:tblStyle w:val="LightShading-Accent1"/>
        <w:tblW w:type="auto" w:w="0"/>
        <w:jc w:val="center"/>
        <w:tblLayout w:type="autofit"/>
        <w:tblLook w:firstColumn="1" w:firstRow="1" w:lastColumn="0" w:lastRow="0" w:noHBand="0" w:noVBand="1" w:val="04A0"/>
      </w:tblPr>
      <w:tblGrid>
        <w:gridCol w:w="4795"/>
        <w:gridCol w:w="4795"/>
      </w:tblGrid>
      <w:tr>
        <w:tc>
          <w:tcPr>
            <w:tcW w:type="dxa" w:w="4795"/>
            <w:vAlign w:val="center"/>
          </w:tcPr>
          <w:p>
            <w:r>
              <w:rPr>
                <w:b/>
                <w:sz w:val="16"/>
              </w:rPr>
              <w:t>Thuộc tính</w:t>
            </w:r>
          </w:p>
        </w:tc>
        <w:tc>
          <w:tcPr>
            <w:tcW w:type="dxa" w:w="4795"/>
            <w:vAlign w:val="center"/>
          </w:tcPr>
          <w:p>
            <w:r>
              <w:rPr>
                <w:b/>
                <w:sz w:val="16"/>
              </w:rPr>
              <w:t>Nội dung</w:t>
            </w:r>
          </w:p>
        </w:tc>
      </w:tr>
      <w:tr>
        <w:tc>
          <w:tcPr>
            <w:tcW w:type="dxa" w:w="4795"/>
            <w:vAlign w:val="center"/>
          </w:tcPr>
          <w:p>
            <w:pPr>
              <w:spacing w:after="20"/>
            </w:pPr>
            <w:r>
              <w:rPr>
                <w:sz w:val="15"/>
              </w:rPr>
              <w:t>Tài liệu</w:t>
            </w:r>
          </w:p>
        </w:tc>
        <w:tc>
          <w:tcPr>
            <w:tcW w:type="dxa" w:w="4795"/>
            <w:vAlign w:val="center"/>
          </w:tcPr>
          <w:p>
            <w:pPr>
              <w:spacing w:after="20"/>
            </w:pPr>
            <w:r>
              <w:rPr>
                <w:sz w:val="15"/>
              </w:rPr>
              <w:t>LCMS BA TO-BE — System-wide Data Entry &amp; Inheritance</w:t>
            </w:r>
          </w:p>
        </w:tc>
      </w:tr>
      <w:tr>
        <w:tc>
          <w:tcPr>
            <w:tcW w:type="dxa" w:w="4795"/>
            <w:vAlign w:val="center"/>
          </w:tcPr>
          <w:p>
            <w:pPr>
              <w:spacing w:after="20"/>
            </w:pPr>
            <w:r>
              <w:rPr>
                <w:sz w:val="15"/>
              </w:rPr>
              <w:t>Phiên bản</w:t>
            </w:r>
          </w:p>
        </w:tc>
        <w:tc>
          <w:tcPr>
            <w:tcW w:type="dxa" w:w="4795"/>
            <w:vAlign w:val="center"/>
          </w:tcPr>
          <w:p>
            <w:pPr>
              <w:spacing w:after="20"/>
            </w:pPr>
            <w:r>
              <w:rPr>
                <w:sz w:val="15"/>
              </w:rPr>
              <w:t>v0.9 — BA design / sẵn sàng để DEV xác minh GAP</w:t>
            </w:r>
          </w:p>
        </w:tc>
      </w:tr>
      <w:tr>
        <w:tc>
          <w:tcPr>
            <w:tcW w:type="dxa" w:w="4795"/>
            <w:vAlign w:val="center"/>
          </w:tcPr>
          <w:p>
            <w:pPr>
              <w:spacing w:after="20"/>
            </w:pPr>
            <w:r>
              <w:rPr>
                <w:sz w:val="15"/>
              </w:rPr>
              <w:t>Ngày</w:t>
            </w:r>
          </w:p>
        </w:tc>
        <w:tc>
          <w:tcPr>
            <w:tcW w:type="dxa" w:w="4795"/>
            <w:vAlign w:val="center"/>
          </w:tcPr>
          <w:p>
            <w:pPr>
              <w:spacing w:after="20"/>
            </w:pPr>
            <w:r>
              <w:rPr>
                <w:sz w:val="15"/>
              </w:rPr>
              <w:t>20/10/2026</w:t>
            </w:r>
          </w:p>
        </w:tc>
      </w:tr>
      <w:tr>
        <w:tc>
          <w:tcPr>
            <w:tcW w:type="dxa" w:w="4795"/>
            <w:vAlign w:val="center"/>
          </w:tcPr>
          <w:p>
            <w:pPr>
              <w:spacing w:after="20"/>
            </w:pPr>
            <w:r>
              <w:rPr>
                <w:sz w:val="15"/>
              </w:rPr>
              <w:t>Đầu vào</w:t>
            </w:r>
          </w:p>
        </w:tc>
        <w:tc>
          <w:tcPr>
            <w:tcW w:type="dxa" w:w="4795"/>
            <w:vAlign w:val="center"/>
          </w:tcPr>
          <w:p>
            <w:pPr>
              <w:spacing w:after="20"/>
            </w:pPr>
            <w:r>
              <w:rPr>
                <w:sz w:val="15"/>
              </w:rPr>
              <w:t>AS-IS Field Inventory (289 trường, 73 cặp) + AS-IS Data Flow (DEV, 20/10/2026)</w:t>
            </w:r>
          </w:p>
        </w:tc>
      </w:tr>
      <w:tr>
        <w:tc>
          <w:tcPr>
            <w:tcW w:type="dxa" w:w="4795"/>
            <w:vAlign w:val="center"/>
          </w:tcPr>
          <w:p>
            <w:pPr>
              <w:spacing w:after="20"/>
            </w:pPr>
            <w:r>
              <w:rPr>
                <w:sz w:val="15"/>
              </w:rPr>
              <w:t>Nền tảng</w:t>
            </w:r>
          </w:p>
        </w:tc>
        <w:tc>
          <w:tcPr>
            <w:tcW w:type="dxa" w:w="4795"/>
            <w:vAlign w:val="center"/>
          </w:tcPr>
          <w:p>
            <w:pPr>
              <w:spacing w:after="20"/>
            </w:pPr>
            <w:r>
              <w:rPr>
                <w:sz w:val="15"/>
              </w:rPr>
              <w:t>LCMS Locked Baseline Register; Operational Reference Field Specification; RATE-UI-05..07</w:t>
            </w:r>
          </w:p>
        </w:tc>
      </w:tr>
      <w:tr>
        <w:tc>
          <w:tcPr>
            <w:tcW w:type="dxa" w:w="4795"/>
            <w:vAlign w:val="center"/>
          </w:tcPr>
          <w:p>
            <w:pPr>
              <w:spacing w:after="20"/>
            </w:pPr>
            <w:r>
              <w:rPr>
                <w:sz w:val="15"/>
              </w:rPr>
              <w:t>Trạng thái</w:t>
            </w:r>
          </w:p>
        </w:tc>
        <w:tc>
          <w:tcPr>
            <w:tcW w:type="dxa" w:w="4795"/>
            <w:vAlign w:val="center"/>
          </w:tcPr>
          <w:p>
            <w:pPr>
              <w:spacing w:after="20"/>
            </w:pPr>
            <w:r>
              <w:rPr>
                <w:sz w:val="15"/>
              </w:rPr>
              <w:t>[BA TO-BE PROPOSAL] Không tự thay đổi kiến trúc hoặc phê duyệt code</w:t>
            </w:r>
          </w:p>
        </w:tc>
      </w:tr>
      <w:tr>
        <w:tc>
          <w:tcPr>
            <w:tcW w:type="dxa" w:w="4795"/>
            <w:vAlign w:val="center"/>
          </w:tcPr>
          <w:p>
            <w:pPr>
              <w:spacing w:after="20"/>
            </w:pPr>
            <w:r>
              <w:rPr>
                <w:sz w:val="15"/>
              </w:rPr>
              <w:t>Phạm vi</w:t>
            </w:r>
          </w:p>
        </w:tc>
        <w:tc>
          <w:tcPr>
            <w:tcW w:type="dxa" w:w="4795"/>
            <w:vAlign w:val="center"/>
          </w:tcPr>
          <w:p>
            <w:pPr>
              <w:spacing w:after="20"/>
            </w:pPr>
            <w:r>
              <w:rPr>
                <w:sz w:val="15"/>
              </w:rPr>
              <w:t>Order, Bill, Shipment, Leg, Movement, Rate Card, Surcharge, Rating, Cost/Revenue, Documents, AP/AR, Settlement, Master</w:t>
            </w:r>
          </w:p>
        </w:tc>
      </w:tr>
    </w:tbl>
    <w:p/>
    <w:p>
      <w:pPr/>
      <w:r>
        <w:rPr>
          <w:b/>
        </w:rPr>
        <w:t>Quy tắc chỉ đạo</w:t>
      </w:r>
    </w:p>
    <w:p>
      <w:r>
        <w:t>Một thông tin nghiệp vụ chỉ cần xác nhận một lần tại nguồn phù hợp; nơi khác ưu tiên dùng tham chiếu, gợi ý có căn cứ hoặc tính toán. Không sao chép dữ liệu giữa các đối tượng có quan hệ N:N khi chưa xác định được phần dữ liệu thực sự áp dụng.</w:t>
      </w:r>
    </w:p>
    <w:p>
      <w:pPr>
        <w:pStyle w:val="Heading1"/>
      </w:pPr>
      <w:r>
        <w:t>1. Kết quả rà soát và ưu tiên</w:t>
      </w:r>
    </w:p>
    <w:p>
      <w:r>
        <w:t>DEV đã cung cấp một workbook với đúng 289 dòng kiểm kê và 73 cặp trường trong bảy luồng. Đây là bản kê do DEV trích xuất từ code/DTO/schema/test; BA chưa được truy cập trực tiếp repository hoặc API production để xác minh mọi khẳng định triển khai.</w:t>
      </w:r>
    </w:p>
    <w:tbl>
      <w:tblPr>
        <w:tblStyle w:val="LightShading-Accent1"/>
        <w:tblW w:type="auto" w:w="0"/>
        <w:jc w:val="center"/>
        <w:tblLayout w:type="autofit"/>
        <w:tblLook w:firstColumn="1" w:firstRow="1" w:lastColumn="0" w:lastRow="0" w:noHBand="0" w:noVBand="1" w:val="04A0"/>
      </w:tblPr>
      <w:tblGrid>
        <w:gridCol w:w="3197"/>
        <w:gridCol w:w="3197"/>
        <w:gridCol w:w="3197"/>
      </w:tblGrid>
      <w:tr>
        <w:tc>
          <w:tcPr>
            <w:tcW w:type="dxa" w:w="3197"/>
            <w:vAlign w:val="center"/>
          </w:tcPr>
          <w:p>
            <w:r>
              <w:rPr>
                <w:b/>
                <w:sz w:val="16"/>
              </w:rPr>
              <w:t>Luồng nghiệp vụ</w:t>
            </w:r>
          </w:p>
        </w:tc>
        <w:tc>
          <w:tcPr>
            <w:tcW w:type="dxa" w:w="3197"/>
            <w:vAlign w:val="center"/>
          </w:tcPr>
          <w:p>
            <w:r>
              <w:rPr>
                <w:b/>
                <w:sz w:val="16"/>
              </w:rPr>
              <w:t>Số cặp</w:t>
            </w:r>
          </w:p>
        </w:tc>
        <w:tc>
          <w:tcPr>
            <w:tcW w:type="dxa" w:w="3197"/>
            <w:vAlign w:val="center"/>
          </w:tcPr>
          <w:p>
            <w:r>
              <w:rPr>
                <w:b/>
                <w:sz w:val="16"/>
              </w:rPr>
              <w:t>Hướng TO-BE</w:t>
            </w:r>
          </w:p>
        </w:tc>
      </w:tr>
      <w:tr>
        <w:tc>
          <w:tcPr>
            <w:tcW w:type="dxa" w:w="3197"/>
            <w:vAlign w:val="center"/>
          </w:tcPr>
          <w:p>
            <w:pPr>
              <w:spacing w:after="20"/>
            </w:pPr>
            <w:r>
              <w:rPr>
                <w:sz w:val="15"/>
              </w:rPr>
              <w:t>Order → Bill</w:t>
            </w:r>
          </w:p>
        </w:tc>
        <w:tc>
          <w:tcPr>
            <w:tcW w:type="dxa" w:w="3197"/>
            <w:vAlign w:val="center"/>
          </w:tcPr>
          <w:p>
            <w:pPr>
              <w:spacing w:after="20"/>
            </w:pPr>
            <w:r>
              <w:rPr>
                <w:sz w:val="15"/>
              </w:rPr>
              <w:t>16</w:t>
            </w:r>
          </w:p>
        </w:tc>
        <w:tc>
          <w:tcPr>
            <w:tcW w:type="dxa" w:w="3197"/>
            <w:vAlign w:val="center"/>
          </w:tcPr>
          <w:p>
            <w:pPr>
              <w:spacing w:after="20"/>
            </w:pPr>
            <w:r>
              <w:rPr>
                <w:sz w:val="15"/>
              </w:rPr>
              <w:t>Prefill có đồng thuận nhiều Order; phân bổ số đo theo dòng hàng</w:t>
            </w:r>
          </w:p>
        </w:tc>
      </w:tr>
      <w:tr>
        <w:tc>
          <w:tcPr>
            <w:tcW w:type="dxa" w:w="3197"/>
            <w:vAlign w:val="center"/>
          </w:tcPr>
          <w:p>
            <w:pPr>
              <w:spacing w:after="20"/>
            </w:pPr>
            <w:r>
              <w:rPr>
                <w:sz w:val="15"/>
              </w:rPr>
              <w:t>Bill → Shipment</w:t>
            </w:r>
          </w:p>
        </w:tc>
        <w:tc>
          <w:tcPr>
            <w:tcW w:type="dxa" w:w="3197"/>
            <w:vAlign w:val="center"/>
          </w:tcPr>
          <w:p>
            <w:pPr>
              <w:spacing w:after="20"/>
            </w:pPr>
            <w:r>
              <w:rPr>
                <w:sz w:val="15"/>
              </w:rPr>
              <w:t>12</w:t>
            </w:r>
          </w:p>
        </w:tc>
        <w:tc>
          <w:tcPr>
            <w:tcW w:type="dxa" w:w="3197"/>
            <w:vAlign w:val="center"/>
          </w:tcPr>
          <w:p>
            <w:pPr>
              <w:spacing w:after="20"/>
            </w:pPr>
            <w:r>
              <w:rPr>
                <w:sz w:val="15"/>
              </w:rPr>
              <w:t>Gợi ý tuyến/đối tác; rollup theo phần hàng thuộc Shipment</w:t>
            </w:r>
          </w:p>
        </w:tc>
      </w:tr>
      <w:tr>
        <w:tc>
          <w:tcPr>
            <w:tcW w:type="dxa" w:w="3197"/>
            <w:vAlign w:val="center"/>
          </w:tcPr>
          <w:p>
            <w:pPr>
              <w:spacing w:after="20"/>
            </w:pPr>
            <w:r>
              <w:rPr>
                <w:sz w:val="15"/>
              </w:rPr>
              <w:t>Shipment → Leg → Movement</w:t>
            </w:r>
          </w:p>
        </w:tc>
        <w:tc>
          <w:tcPr>
            <w:tcW w:type="dxa" w:w="3197"/>
            <w:vAlign w:val="center"/>
          </w:tcPr>
          <w:p>
            <w:pPr>
              <w:spacing w:after="20"/>
            </w:pPr>
            <w:r>
              <w:rPr>
                <w:sz w:val="15"/>
              </w:rPr>
              <w:t>12</w:t>
            </w:r>
          </w:p>
        </w:tc>
        <w:tc>
          <w:tcPr>
            <w:tcW w:type="dxa" w:w="3197"/>
            <w:vAlign w:val="center"/>
          </w:tcPr>
          <w:p>
            <w:pPr>
              <w:spacing w:after="20"/>
            </w:pPr>
            <w:r>
              <w:rPr>
                <w:sz w:val="15"/>
              </w:rPr>
              <w:t>Đề xuất chặng nối tiếp; mode thực tế; Chuyến gắn nhiều Leg</w:t>
            </w:r>
          </w:p>
        </w:tc>
      </w:tr>
      <w:tr>
        <w:tc>
          <w:tcPr>
            <w:tcW w:type="dxa" w:w="3197"/>
            <w:vAlign w:val="center"/>
          </w:tcPr>
          <w:p>
            <w:pPr>
              <w:spacing w:after="20"/>
            </w:pPr>
            <w:r>
              <w:rPr>
                <w:sz w:val="15"/>
              </w:rPr>
              <w:t>Bill/Leg → Rating</w:t>
            </w:r>
          </w:p>
        </w:tc>
        <w:tc>
          <w:tcPr>
            <w:tcW w:type="dxa" w:w="3197"/>
            <w:vAlign w:val="center"/>
          </w:tcPr>
          <w:p>
            <w:pPr>
              <w:spacing w:after="20"/>
            </w:pPr>
            <w:r>
              <w:rPr>
                <w:sz w:val="15"/>
              </w:rPr>
              <w:t>8</w:t>
            </w:r>
          </w:p>
        </w:tc>
        <w:tc>
          <w:tcPr>
            <w:tcW w:type="dxa" w:w="3197"/>
            <w:vAlign w:val="center"/>
          </w:tcPr>
          <w:p>
            <w:pPr>
              <w:spacing w:after="20"/>
            </w:pPr>
            <w:r>
              <w:rPr>
                <w:sz w:val="15"/>
              </w:rPr>
              <w:t>Giữ cơ chế kế thừa; override có audit; Leg không lấy khối lượng Bill</w:t>
            </w:r>
          </w:p>
        </w:tc>
      </w:tr>
      <w:tr>
        <w:tc>
          <w:tcPr>
            <w:tcW w:type="dxa" w:w="3197"/>
            <w:vAlign w:val="center"/>
          </w:tcPr>
          <w:p>
            <w:pPr>
              <w:spacing w:after="20"/>
            </w:pPr>
            <w:r>
              <w:rPr>
                <w:sz w:val="15"/>
              </w:rPr>
              <w:t>Rate Card → Rating → Cost/Revenue</w:t>
            </w:r>
          </w:p>
        </w:tc>
        <w:tc>
          <w:tcPr>
            <w:tcW w:type="dxa" w:w="3197"/>
            <w:vAlign w:val="center"/>
          </w:tcPr>
          <w:p>
            <w:pPr>
              <w:spacing w:after="20"/>
            </w:pPr>
            <w:r>
              <w:rPr>
                <w:sz w:val="15"/>
              </w:rPr>
              <w:t>8</w:t>
            </w:r>
          </w:p>
        </w:tc>
        <w:tc>
          <w:tcPr>
            <w:tcW w:type="dxa" w:w="3197"/>
            <w:vAlign w:val="center"/>
          </w:tcPr>
          <w:p>
            <w:pPr>
              <w:spacing w:after="20"/>
            </w:pPr>
            <w:r>
              <w:rPr>
                <w:sz w:val="15"/>
              </w:rPr>
              <w:t>Giữ seed idempotent, xác minh economic mapping</w:t>
            </w:r>
          </w:p>
        </w:tc>
      </w:tr>
      <w:tr>
        <w:tc>
          <w:tcPr>
            <w:tcW w:type="dxa" w:w="3197"/>
            <w:vAlign w:val="center"/>
          </w:tcPr>
          <w:p>
            <w:pPr>
              <w:spacing w:after="20"/>
            </w:pPr>
            <w:r>
              <w:rPr>
                <w:sz w:val="15"/>
              </w:rPr>
              <w:t>Cost/Revenue → Documents → AP/AR → Cash</w:t>
            </w:r>
          </w:p>
        </w:tc>
        <w:tc>
          <w:tcPr>
            <w:tcW w:type="dxa" w:w="3197"/>
            <w:vAlign w:val="center"/>
          </w:tcPr>
          <w:p>
            <w:pPr>
              <w:spacing w:after="20"/>
            </w:pPr>
            <w:r>
              <w:rPr>
                <w:sz w:val="15"/>
              </w:rPr>
              <w:t>12</w:t>
            </w:r>
          </w:p>
        </w:tc>
        <w:tc>
          <w:tcPr>
            <w:tcW w:type="dxa" w:w="3197"/>
            <w:vAlign w:val="center"/>
          </w:tcPr>
          <w:p>
            <w:pPr>
              <w:spacing w:after="20"/>
            </w:pPr>
            <w:r>
              <w:rPr>
                <w:sz w:val="15"/>
              </w:rPr>
              <w:t>Prefill từ nguồn; phân biệt invoice / payment date / payee</w:t>
            </w:r>
          </w:p>
        </w:tc>
      </w:tr>
      <w:tr>
        <w:tc>
          <w:tcPr>
            <w:tcW w:type="dxa" w:w="3197"/>
            <w:vAlign w:val="center"/>
          </w:tcPr>
          <w:p>
            <w:pPr>
              <w:spacing w:after="20"/>
            </w:pPr>
            <w:r>
              <w:rPr>
                <w:sz w:val="15"/>
              </w:rPr>
              <w:t>Rate Card → Surcharge</w:t>
            </w:r>
          </w:p>
        </w:tc>
        <w:tc>
          <w:tcPr>
            <w:tcW w:type="dxa" w:w="3197"/>
            <w:vAlign w:val="center"/>
          </w:tcPr>
          <w:p>
            <w:pPr>
              <w:spacing w:after="20"/>
            </w:pPr>
            <w:r>
              <w:rPr>
                <w:sz w:val="15"/>
              </w:rPr>
              <w:t>5</w:t>
            </w:r>
          </w:p>
        </w:tc>
        <w:tc>
          <w:tcPr>
            <w:tcW w:type="dxa" w:w="3197"/>
            <w:vAlign w:val="center"/>
          </w:tcPr>
          <w:p>
            <w:pPr>
              <w:spacing w:after="20"/>
            </w:pPr>
            <w:r>
              <w:rPr>
                <w:sz w:val="15"/>
              </w:rPr>
              <w:t>Prefill khi liên kết Rate Card, không cưỡng ép dữ liệu đa tuyến</w:t>
            </w:r>
          </w:p>
        </w:tc>
      </w:tr>
    </w:tbl>
    <w:p>
      <w:pPr>
        <w:pStyle w:val="Heading2"/>
      </w:pPr>
      <w:r>
        <w:t>1.1. Sai khác cần ghi nhận trong nguồn AS-IS</w:t>
      </w:r>
    </w:p>
    <w:p>
      <w:pPr>
        <w:pStyle w:val="ListBullet"/>
      </w:pPr>
      <w:r>
        <w:t>Word báo cáo phân nhóm 289 trường là 110/60/45/34/40, còn Excel thực đếm là 113/60/45/35/36. Mỗi tổng đều bằng 289; số liệu theo module chưa khớp.</w:t>
      </w:r>
    </w:p>
    <w:p>
      <w:pPr>
        <w:pStyle w:val="ListBullet"/>
      </w:pPr>
      <w:r>
        <w:t>Inventory ngày 20/10 còn ghi một số trường Phương thức/Dịch vụ tại header Rate Card, trong khi baseline Bảng giá mới cho phép nhiều tuyến và đặt áp dụng tại quy tắc/nhóm ma trận. Phải kiểm tra màn hình/build chính thức.</w:t>
      </w:r>
    </w:p>
    <w:p>
      <w:pPr>
        <w:pStyle w:val="ListBullet"/>
      </w:pPr>
      <w:r>
        <w:t>Ma trận 20/10 nêu pricing_rules.economic_charge_type_id; AS-IS 16/10 nêu economic category từ rule components/mapping, dữ liệu DB chưa có. Không được tự tin triển khai mapping nếu chưa so schema đang chạy.</w:t>
      </w:r>
    </w:p>
    <w:p>
      <w:pPr>
        <w:pStyle w:val="ListBullet"/>
      </w:pPr>
      <w:r>
        <w:t>Danh mục 289 trường gồm cả mã, trạng thái, trường tính toán và trường chỉ đọc; không thể đồng nhất 289 là số trường người dùng đang thực sự gõ.</w:t>
      </w:r>
    </w:p>
    <w:p>
      <w:pPr>
        <w:pStyle w:val="Heading1"/>
      </w:pPr>
      <w:r>
        <w:t>2. Quy tắc kiến trúc bắt buộc</w:t>
      </w:r>
    </w:p>
    <w:p>
      <w:pPr>
        <w:pStyle w:val="ListBullet"/>
      </w:pPr>
      <w:r>
        <w:t>Bill là Financial Anchor; không là kho sở hữu mọi thuộc tính operational. Order–Bill N:N; Bill–Shipment N:N; Bill–Leg N:N; Leg–Movement N:N; Shipment→Leg 1:N.</w:t>
      </w:r>
    </w:p>
    <w:p>
      <w:pPr>
        <w:pStyle w:val="ListBullet"/>
      </w:pPr>
      <w:r>
        <w:t>Manual Reference Entry / Import / API đi qua cùng canonical validation. Operational source bên ngoài vẫn giữ SoT cho thuộc tính external-owned, LCMS chỉ snapshot/context hoặc override có kiểm soát.</w:t>
      </w:r>
    </w:p>
    <w:p>
      <w:pPr>
        <w:pStyle w:val="ListBullet"/>
      </w:pPr>
      <w:r>
        <w:t>Không tự lấy thông tin từ Order/Bill đầu tiên khi nhiều nguồn không đồng thuận; phải phát hiện và yêu cầu xác nhận xung đột ở mức từng trường.</w:t>
      </w:r>
    </w:p>
    <w:p>
      <w:pPr>
        <w:pStyle w:val="ListBullet"/>
      </w:pPr>
      <w:r>
        <w:t>Không tổng hợp Gross/CBM/Số kiện từ toàn bộ Bill/Order nếu một đối tượng nguồn được chia vào nhiều đích; cần cấu trúc phân bổ hoặc quan hệ dòng hàng đủ tin cậy.</w:t>
      </w:r>
    </w:p>
    <w:p>
      <w:pPr>
        <w:pStyle w:val="ListBullet"/>
      </w:pPr>
      <w:r>
        <w:t>Không dùng Chargeable Weight/Gross Weight của Bill cho tính giá mua theo Leg; trọng lượng Leg cần được nhập/xác nhận từ nguồn Chặng riêng.</w:t>
      </w:r>
    </w:p>
    <w:p>
      <w:pPr>
        <w:pStyle w:val="ListBullet"/>
      </w:pPr>
      <w:r>
        <w:t>Expected/Confirmed/Actual và financial documents/AP/AR không sinh trùng economic fact; Rating đã lưu bất biến; published Rate Card và financial close không bị sửa ngầm.</w:t>
      </w:r>
    </w:p>
    <w:p>
      <w:pPr>
        <w:pStyle w:val="ListBullet"/>
      </w:pPr>
      <w:r>
        <w:t>Master Data là nguồn picker/dropdown canonical, kiểm tra tại cả API và import; không dùng danh sách gắn cứng và không cho nhập mã tự do đối với tham chiếu danh mục.</w:t>
      </w:r>
    </w:p>
    <w:p>
      <w:pPr>
        <w:pStyle w:val="Heading1"/>
      </w:pPr>
      <w:r>
        <w:t>3. Ma trận thao tác người dùng TO-BE</w:t>
      </w:r>
    </w:p>
    <w:tbl>
      <w:tblPr>
        <w:tblStyle w:val="LightShading-Accent1"/>
        <w:tblW w:type="auto" w:w="0"/>
        <w:jc w:val="center"/>
        <w:tblLayout w:type="autofit"/>
        <w:tblLook w:firstColumn="1" w:firstRow="1" w:lastColumn="0" w:lastRow="0" w:noHBand="0" w:noVBand="1" w:val="04A0"/>
      </w:tblPr>
      <w:tblGrid>
        <w:gridCol w:w="3197"/>
        <w:gridCol w:w="3197"/>
        <w:gridCol w:w="3197"/>
      </w:tblGrid>
      <w:tr>
        <w:tc>
          <w:tcPr>
            <w:tcW w:type="dxa" w:w="3197"/>
            <w:vAlign w:val="center"/>
          </w:tcPr>
          <w:p>
            <w:r>
              <w:rPr>
                <w:b/>
                <w:sz w:val="16"/>
              </w:rPr>
              <w:t>Chế độ nhập</w:t>
            </w:r>
          </w:p>
        </w:tc>
        <w:tc>
          <w:tcPr>
            <w:tcW w:type="dxa" w:w="3197"/>
            <w:vAlign w:val="center"/>
          </w:tcPr>
          <w:p>
            <w:r>
              <w:rPr>
                <w:b/>
                <w:sz w:val="16"/>
              </w:rPr>
              <w:t>Khi nào dùng</w:t>
            </w:r>
          </w:p>
        </w:tc>
        <w:tc>
          <w:tcPr>
            <w:tcW w:type="dxa" w:w="3197"/>
            <w:vAlign w:val="center"/>
          </w:tcPr>
          <w:p>
            <w:r>
              <w:rPr>
                <w:b/>
                <w:sz w:val="16"/>
              </w:rPr>
              <w:t>Hành vi bắt buộc</w:t>
            </w:r>
          </w:p>
        </w:tc>
      </w:tr>
      <w:tr>
        <w:tc>
          <w:tcPr>
            <w:tcW w:type="dxa" w:w="3197"/>
            <w:vAlign w:val="center"/>
          </w:tcPr>
          <w:p>
            <w:pPr>
              <w:spacing w:after="20"/>
            </w:pPr>
            <w:r>
              <w:rPr>
                <w:sz w:val="15"/>
              </w:rPr>
              <w:t>AUTO-PREFILL</w:t>
            </w:r>
          </w:p>
        </w:tc>
        <w:tc>
          <w:tcPr>
            <w:tcW w:type="dxa" w:w="3197"/>
            <w:vAlign w:val="center"/>
          </w:tcPr>
          <w:p>
            <w:pPr>
              <w:spacing w:after="20"/>
            </w:pPr>
            <w:r>
              <w:rPr>
                <w:sz w:val="15"/>
              </w:rPr>
              <w:t>Một nguồn rõ ràng, cùng nghĩa, được phép kế thừa</w:t>
            </w:r>
          </w:p>
        </w:tc>
        <w:tc>
          <w:tcPr>
            <w:tcW w:type="dxa" w:w="3197"/>
            <w:vAlign w:val="center"/>
          </w:tcPr>
          <w:p>
            <w:pPr>
              <w:spacing w:after="20"/>
            </w:pPr>
            <w:r>
              <w:rPr>
                <w:sz w:val="15"/>
              </w:rPr>
              <w:t>Điền sẵn + hiển thị nguồn; không overwrite giá trị đã được xác nhận</w:t>
            </w:r>
          </w:p>
        </w:tc>
      </w:tr>
      <w:tr>
        <w:tc>
          <w:tcPr>
            <w:tcW w:type="dxa" w:w="3197"/>
            <w:vAlign w:val="center"/>
          </w:tcPr>
          <w:p>
            <w:pPr>
              <w:spacing w:after="20"/>
            </w:pPr>
            <w:r>
              <w:rPr>
                <w:sz w:val="15"/>
              </w:rPr>
              <w:t>SUGGEST / CONFIRM</w:t>
            </w:r>
          </w:p>
        </w:tc>
        <w:tc>
          <w:tcPr>
            <w:tcW w:type="dxa" w:w="3197"/>
            <w:vAlign w:val="center"/>
          </w:tcPr>
          <w:p>
            <w:pPr>
              <w:spacing w:after="20"/>
            </w:pPr>
            <w:r>
              <w:rPr>
                <w:sz w:val="15"/>
              </w:rPr>
              <w:t>Nhiều nguồn hoặc ngữ nghĩa có thể khác</w:t>
            </w:r>
          </w:p>
        </w:tc>
        <w:tc>
          <w:tcPr>
            <w:tcW w:type="dxa" w:w="3197"/>
            <w:vAlign w:val="center"/>
          </w:tcPr>
          <w:p>
            <w:pPr>
              <w:spacing w:after="20"/>
            </w:pPr>
            <w:r>
              <w:rPr>
                <w:sz w:val="15"/>
              </w:rPr>
              <w:t>Gợi ý, so sánh khác biệt, người dùng chốt giá trị đúng</w:t>
            </w:r>
          </w:p>
        </w:tc>
      </w:tr>
      <w:tr>
        <w:tc>
          <w:tcPr>
            <w:tcW w:type="dxa" w:w="3197"/>
            <w:vAlign w:val="center"/>
          </w:tcPr>
          <w:p>
            <w:pPr>
              <w:spacing w:after="20"/>
            </w:pPr>
            <w:r>
              <w:rPr>
                <w:sz w:val="15"/>
              </w:rPr>
              <w:t>DERIVED / COMPUTED</w:t>
            </w:r>
          </w:p>
        </w:tc>
        <w:tc>
          <w:tcPr>
            <w:tcW w:type="dxa" w:w="3197"/>
            <w:vAlign w:val="center"/>
          </w:tcPr>
          <w:p>
            <w:pPr>
              <w:spacing w:after="20"/>
            </w:pPr>
            <w:r>
              <w:rPr>
                <w:sz w:val="15"/>
              </w:rPr>
              <w:t>Các giá trị tính được đáng tin cậy</w:t>
            </w:r>
          </w:p>
        </w:tc>
        <w:tc>
          <w:tcPr>
            <w:tcW w:type="dxa" w:w="3197"/>
            <w:vAlign w:val="center"/>
          </w:tcPr>
          <w:p>
            <w:pPr>
              <w:spacing w:after="20"/>
            </w:pPr>
            <w:r>
              <w:rPr>
                <w:sz w:val="15"/>
              </w:rPr>
              <w:t>Chỉ đọc, hiển thị công thức/nguồn; lỗi thì cảnh báo</w:t>
            </w:r>
          </w:p>
        </w:tc>
      </w:tr>
      <w:tr>
        <w:tc>
          <w:tcPr>
            <w:tcW w:type="dxa" w:w="3197"/>
            <w:vAlign w:val="center"/>
          </w:tcPr>
          <w:p>
            <w:pPr>
              <w:spacing w:after="20"/>
            </w:pPr>
            <w:r>
              <w:rPr>
                <w:sz w:val="15"/>
              </w:rPr>
              <w:t>MASTER PICKER</w:t>
            </w:r>
          </w:p>
        </w:tc>
        <w:tc>
          <w:tcPr>
            <w:tcW w:type="dxa" w:w="3197"/>
            <w:vAlign w:val="center"/>
          </w:tcPr>
          <w:p>
            <w:pPr>
              <w:spacing w:after="20"/>
            </w:pPr>
            <w:r>
              <w:rPr>
                <w:sz w:val="15"/>
              </w:rPr>
              <w:t>Dữ liệu đã có danh mục chuẩn</w:t>
            </w:r>
          </w:p>
        </w:tc>
        <w:tc>
          <w:tcPr>
            <w:tcW w:type="dxa" w:w="3197"/>
            <w:vAlign w:val="center"/>
          </w:tcPr>
          <w:p>
            <w:pPr>
              <w:spacing w:after="20"/>
            </w:pPr>
            <w:r>
              <w:rPr>
                <w:sz w:val="15"/>
              </w:rPr>
              <w:t>Searchable dropdown; xác thực mã chuẩn tại backend</w:t>
            </w:r>
          </w:p>
        </w:tc>
      </w:tr>
      <w:tr>
        <w:tc>
          <w:tcPr>
            <w:tcW w:type="dxa" w:w="3197"/>
            <w:vAlign w:val="center"/>
          </w:tcPr>
          <w:p>
            <w:pPr>
              <w:spacing w:after="20"/>
            </w:pPr>
            <w:r>
              <w:rPr>
                <w:sz w:val="15"/>
              </w:rPr>
              <w:t>MANUAL-EXCEPTION</w:t>
            </w:r>
          </w:p>
        </w:tc>
        <w:tc>
          <w:tcPr>
            <w:tcW w:type="dxa" w:w="3197"/>
            <w:vAlign w:val="center"/>
          </w:tcPr>
          <w:p>
            <w:pPr>
              <w:spacing w:after="20"/>
            </w:pPr>
            <w:r>
              <w:rPr>
                <w:sz w:val="15"/>
              </w:rPr>
              <w:t>Thông số độc lập chưa có từ nguồn</w:t>
            </w:r>
          </w:p>
        </w:tc>
        <w:tc>
          <w:tcPr>
            <w:tcW w:type="dxa" w:w="3197"/>
            <w:vAlign w:val="center"/>
          </w:tcPr>
          <w:p>
            <w:pPr>
              <w:spacing w:after="20"/>
            </w:pPr>
            <w:r>
              <w:rPr>
                <w:sz w:val="15"/>
              </w:rPr>
              <w:t>Chỉ hỏi những trường thiếu; cho nhập và ghi provenance</w:t>
            </w:r>
          </w:p>
        </w:tc>
      </w:tr>
      <w:tr>
        <w:tc>
          <w:tcPr>
            <w:tcW w:type="dxa" w:w="3197"/>
            <w:vAlign w:val="center"/>
          </w:tcPr>
          <w:p>
            <w:pPr>
              <w:spacing w:after="20"/>
            </w:pPr>
            <w:r>
              <w:rPr>
                <w:sz w:val="15"/>
              </w:rPr>
              <w:t>OVERRIDE</w:t>
            </w:r>
          </w:p>
        </w:tc>
        <w:tc>
          <w:tcPr>
            <w:tcW w:type="dxa" w:w="3197"/>
            <w:vAlign w:val="center"/>
          </w:tcPr>
          <w:p>
            <w:pPr>
              <w:spacing w:after="20"/>
            </w:pPr>
            <w:r>
              <w:rPr>
                <w:sz w:val="15"/>
              </w:rPr>
              <w:t>Điều chỉnh dữ liệu nguồn có hiệu lực xuống tài chính</w:t>
            </w:r>
          </w:p>
        </w:tc>
        <w:tc>
          <w:tcPr>
            <w:tcW w:type="dxa" w:w="3197"/>
            <w:vAlign w:val="center"/>
          </w:tcPr>
          <w:p>
            <w:pPr>
              <w:spacing w:after="20"/>
            </w:pPr>
            <w:r>
              <w:rPr>
                <w:sz w:val="15"/>
              </w:rPr>
              <w:t>Quyền + lý do + audit; cảnh báo re-rate</w:t>
            </w:r>
          </w:p>
        </w:tc>
      </w:tr>
      <w:tr>
        <w:tc>
          <w:tcPr>
            <w:tcW w:type="dxa" w:w="3197"/>
            <w:vAlign w:val="center"/>
          </w:tcPr>
          <w:p>
            <w:pPr>
              <w:spacing w:after="20"/>
            </w:pPr>
            <w:r>
              <w:rPr>
                <w:sz w:val="15"/>
              </w:rPr>
              <w:t>REFERENCE / READONLY</w:t>
            </w:r>
          </w:p>
        </w:tc>
        <w:tc>
          <w:tcPr>
            <w:tcW w:type="dxa" w:w="3197"/>
            <w:vAlign w:val="center"/>
          </w:tcPr>
          <w:p>
            <w:pPr>
              <w:spacing w:after="20"/>
            </w:pPr>
            <w:r>
              <w:rPr>
                <w:sz w:val="15"/>
              </w:rPr>
              <w:t>Đã chọn object gốc hoặc bản đã khóa</w:t>
            </w:r>
          </w:p>
        </w:tc>
        <w:tc>
          <w:tcPr>
            <w:tcW w:type="dxa" w:w="3197"/>
            <w:vAlign w:val="center"/>
          </w:tcPr>
          <w:p>
            <w:pPr>
              <w:spacing w:after="20"/>
            </w:pPr>
            <w:r>
              <w:rPr>
                <w:sz w:val="15"/>
              </w:rPr>
              <w:t>Chỉ xem hoặc liên kết; không copy tùy tiện</w:t>
            </w:r>
          </w:p>
        </w:tc>
      </w:tr>
    </w:tbl>
    <w:p>
      <w:pPr>
        <w:pStyle w:val="Heading1"/>
      </w:pPr>
      <w:r>
        <w:t>4. Đặc tả các luồng trọng tâm</w:t>
      </w:r>
    </w:p>
    <w:p>
      <w:pPr>
        <w:pStyle w:val="Heading2"/>
      </w:pPr>
      <w:r>
        <w:t>4.1. DO-01 — Order → Bill (P0)</w:t>
      </w:r>
    </w:p>
    <w:p>
      <w:r>
        <w:t>Khi người dùng chọn một hoặc nhiều Order, form Bill truy vấn từng Order và đối chiếu từng field. Giá trị đồng nhất, hợp lệ → prefill. Không đồng nhất → hiển thị danh sách nguồn và yêu cầu chọn/cung cấp giá trị, không mặc định dòng đầu tiên. Customer, payer, shipper, consignee, bill-to là các vai trò riêng.</w:t>
      </w:r>
    </w:p>
    <w:p>
      <w:pPr>
        <w:pStyle w:val="ListBullet"/>
      </w:pPr>
      <w:r>
        <w:t>Nhóm gợi ý: Customer, Mode, Origin/Destination, ETD/ETA, Service, Incoterms, Customer Ref, Shipper/Consignee, Commodity.</w:t>
      </w:r>
    </w:p>
    <w:p>
      <w:pPr>
        <w:pStyle w:val="ListBullet"/>
      </w:pPr>
      <w:r>
        <w:t>Nhóm Cargo: số kiện, Gross, CBM cần hợp nhất theo dòng hàng và mức gắn vào Bill; CW tính theo rating/mode/context, không cộng thẳng CW từ Order.</w:t>
      </w:r>
    </w:p>
    <w:p>
      <w:pPr>
        <w:pStyle w:val="ListBullet"/>
      </w:pPr>
      <w:r>
        <w:t>Mỗi field có trạng thái Auto / Suggested / Conflict / Manually overridden, kèm source reference. Màn hình chỉ hỏi giá trị còn thiếu hoặc mâu thuẫn.</w:t>
      </w:r>
    </w:p>
    <w:p>
      <w:pPr>
        <w:pStyle w:val="ListBullet"/>
      </w:pPr>
      <w:r>
        <w:t>Thay đổi Order sau khi Bill lưu: không ghi đè im lặng Bill đã được kiểm soát tài chính; hiển thị diff và workflow xác nhận.</w:t>
      </w:r>
    </w:p>
    <w:p>
      <w:pPr>
        <w:pStyle w:val="Heading2"/>
      </w:pPr>
      <w:r>
        <w:t>4.2. DO-02 — Bill → Shipment (P0)</w:t>
      </w:r>
    </w:p>
    <w:p>
      <w:r>
        <w:t>Shipment được tạo từ tập Bill đã chọn nhưng không đồng nghĩa sao chép toàn bộ thuộc tính từng Bill. Shipment có thể bao một đoạn hành trình; một Bill có thể ở nhiều Shipment. Hệ thống cần preview gom dữ liệu theo phần hàng và link từng Bill.</w:t>
      </w:r>
    </w:p>
    <w:p>
      <w:pPr>
        <w:pStyle w:val="ListBullet"/>
      </w:pPr>
      <w:r>
        <w:t>Route/Origin/Destination/ETD/ETA/Carrier/Service chỉ gợi ý khi thống nhất và đúng hành trình gom.</w:t>
      </w:r>
    </w:p>
    <w:p>
      <w:pPr>
        <w:pStyle w:val="ListBullet"/>
      </w:pPr>
      <w:r>
        <w:t>Shipment hỗ trợ MULTIMODAL; các Leg xác định AIR/SEA/ROAD/... vật lý. Không ép một Shipment đa phương thức thành một mode đơn.</w:t>
      </w:r>
    </w:p>
    <w:p>
      <w:pPr>
        <w:pStyle w:val="ListBullet"/>
      </w:pPr>
      <w:r>
        <w:t>Auto-rollup số kiện, Gross, CBM chỉ khi có quantity/association basis, không cộng toàn Bill vào mọi Shipment.</w:t>
      </w:r>
    </w:p>
    <w:p>
      <w:pPr>
        <w:pStyle w:val="ListBullet"/>
      </w:pPr>
      <w:r>
        <w:t>Cargo Type hỗn hợp không được tự đại diện bằng Commodity đầu tiên; cần hiển thị nhiều loại hoặc để chờ xác nhận nghiệp vụ.</w:t>
      </w:r>
    </w:p>
    <w:p>
      <w:pPr>
        <w:pStyle w:val="Heading2"/>
      </w:pPr>
      <w:r>
        <w:t>4.3. DO-03/04 — Shipment → Leg → Movement (P0/P1)</w:t>
      </w:r>
    </w:p>
    <w:p>
      <w:r>
        <w:t>Tạo Leg từ Shipment ưu tiên chọn đoạn tuyến vận chuyển (origin/destination và sequence), tự gợi ý điểm nối nhưng người dùng xác nhận. Leg có mode vật lý, carrier/vendor và schedule riêng. Movement là Chuyến thực tế, có thể liên kết nhiều Leg và Bill.</w:t>
      </w:r>
    </w:p>
    <w:p>
      <w:pPr>
        <w:pStyle w:val="ListBullet"/>
      </w:pPr>
      <w:r>
        <w:t>Chặng đầu có thể gợi ý Shipment origin; chặng cuối có thể gợi ý Shipment destination; các Chặng giữa phải lấy điểm kết nối phù hợp, không sao chép endpoints Shipment.</w:t>
      </w:r>
    </w:p>
    <w:p>
      <w:pPr>
        <w:pStyle w:val="ListBullet"/>
      </w:pPr>
      <w:r>
        <w:t>Chuyến gợi ý Mode/Carrier/Điểm đi-đến khi các Leg liên kết đồng thuận; khác nhau thì không âm thầm hợp nhất.</w:t>
      </w:r>
    </w:p>
    <w:p>
      <w:pPr>
        <w:pStyle w:val="ListBullet"/>
      </w:pPr>
      <w:r>
        <w:t>Carrier không đồng nhất Vendor; chặng có nhiều Bill nhưng số đo phát sinh phải được xác định độc lập khi Rating BUY.</w:t>
      </w:r>
    </w:p>
    <w:p>
      <w:pPr>
        <w:pStyle w:val="Heading2"/>
      </w:pPr>
      <w:r>
        <w:t>4.4. DO-05/06 — Master, SoT &amp; Rating (P0)</w:t>
      </w:r>
    </w:p>
    <w:p>
      <w:r>
        <w:t>Master-picker phải lấy dữ liệu cùng một nguồn canonical trên tất cả các form. Form dùng API hay import cũng phải kiểm tra mã master hợp lệ và quyền. Rating giữ context resolver đã triển khai; chỉ cải thiện khả năng hiển thị nguồn và kiểm soát ghi đè.</w:t>
      </w:r>
    </w:p>
    <w:p>
      <w:pPr>
        <w:pStyle w:val="ListBullet"/>
      </w:pPr>
      <w:r>
        <w:t>Dịch vụ khác Phương thức; Commodity khác thuộc tính đặc biệt của hàng. Không gộp danh mục chỉ vì trùng mã AIR/EXPRESS.</w:t>
      </w:r>
    </w:p>
    <w:p>
      <w:pPr>
        <w:pStyle w:val="ListBullet"/>
      </w:pPr>
      <w:r>
        <w:t>Route có hướng, Mode có thể nằm ở rule/Leg; không tự suy mode từ tuyến nếu master thiếu hoặc route hỗ trợ nhiều mode.</w:t>
      </w:r>
    </w:p>
    <w:p>
      <w:pPr>
        <w:pStyle w:val="ListBullet"/>
      </w:pPr>
      <w:r>
        <w:t>Bill Rating dùng thuộc tính Bill; Leg BUY Rating dùng thuộc tính Leg/Shipment và trọng lượng riêng của Leg, không dùng Bill weight.</w:t>
      </w:r>
    </w:p>
    <w:p>
      <w:pPr>
        <w:pStyle w:val="ListBullet"/>
      </w:pPr>
      <w:r>
        <w:t>Rating version, context snapshot, FX/VAT snapshot và re-rate chain được bảo toàn. Đừng tự chỉnh lại Rating đã completed.</w:t>
      </w:r>
    </w:p>
    <w:p>
      <w:pPr>
        <w:pStyle w:val="Heading2"/>
      </w:pPr>
      <w:r>
        <w:t>4.5. DO-07 — Rate Card → Surcharge (P1)</w:t>
      </w:r>
    </w:p>
    <w:p>
      <w:r>
        <w:t>Khi user chọn Rate Card để giới hạn phạm vi phụ phí, hệ thống gợi ý chiều BUY/SELL, currency, mode/route và kỳ hiệu lực từ dữ liệu bảng giá tương ứng. Nếu một Rate Card có nhiều tuyến/mode, không được sao chép một giá trị header duy nhất sang Surcharge. Phụ phí độc lập không gắn Rate Card vẫn có phạm vi riêng.</w:t>
      </w:r>
    </w:p>
    <w:p>
      <w:pPr>
        <w:pStyle w:val="Heading2"/>
      </w:pPr>
      <w:r>
        <w:t>4.6. DO-08 — Cost/Revenue → Documents → AP/AR → Payment/Collection (P1)</w:t>
      </w:r>
    </w:p>
    <w:p>
      <w:r>
        <w:t>Giữ chức năng tự sinh Expected Cost/Revenue và Exposure sau match khi đã phù hợp. Chứng từ từ LCMS có thể chọn eligible cost/revenue; chứng từ do đối tác phát hành là nguồn của số hóa đơn và số tiền thực tế, cần đối chiếu sai lệch thay vì chép số Expected.</w:t>
      </w:r>
    </w:p>
    <w:p>
      <w:pPr>
        <w:pStyle w:val="ListBullet"/>
      </w:pPr>
      <w:r>
        <w:t>Từ AP/AR mở 'Lập lệnh chi' hoặc 'Thu tiền' với vendor/customer, số dư và các ID chứng từ được gợi ý. Người dùng vẫn xác nhận người nhận/nộp tiền, tài khoản, số tiền và ngày thực tế.</w:t>
      </w:r>
    </w:p>
    <w:p>
      <w:pPr>
        <w:pStyle w:val="ListBullet"/>
      </w:pPr>
      <w:r>
        <w:t>KHÔNG kế thừa due_date của công nợ thành collection_date. Hai trường chỉ liên quan tham chiếu.</w:t>
      </w:r>
    </w:p>
    <w:p>
      <w:pPr>
        <w:pStyle w:val="ListBullet"/>
      </w:pPr>
      <w:r>
        <w:t>Số tiền phân bổ bị giới hạn bởi số dư nợ và số tiền giao dịch chưa phân bổ; không tự hạch toán tất toán.</w:t>
      </w:r>
    </w:p>
    <w:p>
      <w:pPr>
        <w:pStyle w:val="ListBullet"/>
      </w:pPr>
      <w:r>
        <w:t>Bảo toàn economic event xuyên Cost → Invoice → AP/AR → Cash; không cộng dòng hai lần.</w:t>
      </w:r>
    </w:p>
    <w:p>
      <w:pPr>
        <w:pStyle w:val="Heading2"/>
      </w:pPr>
      <w:r>
        <w:t>4.7. DO-09 — Chi phí dùng chung &amp; phân bổ (P1)</w:t>
      </w:r>
    </w:p>
    <w:p>
      <w:r>
        <w:t>Gợi ý tập Bill thụ hưởng và Allocation Basis theo phạm vi đối tượng nguồn, chính sách tenant và khoản chi phí. Người dùng phải xác nhận tiêu chí phân bổ; số tiền phân bổ do engine tính, đảm bảo tổng tiền bằng số nguồn sau xử lý làm tròn, lưu snapshot.</w:t>
      </w:r>
    </w:p>
    <w:p>
      <w:pPr>
        <w:pStyle w:val="Heading1"/>
      </w:pPr>
      <w:r>
        <w:t>5. Những quyết định KHÔNG được tự giản lược</w:t>
      </w:r>
    </w:p>
    <w:tbl>
      <w:tblPr>
        <w:tblStyle w:val="LightShading-Accent1"/>
        <w:tblW w:type="auto" w:w="0"/>
        <w:jc w:val="center"/>
        <w:tblLayout w:type="autofit"/>
        <w:tblLook w:firstColumn="1" w:firstRow="1" w:lastColumn="0" w:lastRow="0" w:noHBand="0" w:noVBand="1" w:val="04A0"/>
      </w:tblPr>
      <w:tblGrid>
        <w:gridCol w:w="3197"/>
        <w:gridCol w:w="3197"/>
        <w:gridCol w:w="3197"/>
      </w:tblGrid>
      <w:tr>
        <w:tc>
          <w:tcPr>
            <w:tcW w:type="dxa" w:w="3197"/>
            <w:vAlign w:val="center"/>
          </w:tcPr>
          <w:p>
            <w:r>
              <w:rPr>
                <w:b/>
                <w:sz w:val="16"/>
              </w:rPr>
              <w:t>Cặp trường</w:t>
            </w:r>
          </w:p>
        </w:tc>
        <w:tc>
          <w:tcPr>
            <w:tcW w:type="dxa" w:w="3197"/>
            <w:vAlign w:val="center"/>
          </w:tcPr>
          <w:p>
            <w:r>
              <w:rPr>
                <w:b/>
                <w:sz w:val="16"/>
              </w:rPr>
              <w:t>Kết luận BA</w:t>
            </w:r>
          </w:p>
        </w:tc>
        <w:tc>
          <w:tcPr>
            <w:tcW w:type="dxa" w:w="3197"/>
            <w:vAlign w:val="center"/>
          </w:tcPr>
          <w:p>
            <w:r>
              <w:rPr>
                <w:b/>
                <w:sz w:val="16"/>
              </w:rPr>
              <w:t>Lý do</w:t>
            </w:r>
          </w:p>
        </w:tc>
      </w:tr>
      <w:tr>
        <w:tc>
          <w:tcPr>
            <w:tcW w:type="dxa" w:w="3197"/>
            <w:vAlign w:val="center"/>
          </w:tcPr>
          <w:p>
            <w:pPr>
              <w:spacing w:after="20"/>
            </w:pPr>
            <w:r>
              <w:rPr>
                <w:sz w:val="15"/>
              </w:rPr>
              <w:t>Due Date → Collection Date</w:t>
            </w:r>
          </w:p>
        </w:tc>
        <w:tc>
          <w:tcPr>
            <w:tcW w:type="dxa" w:w="3197"/>
            <w:vAlign w:val="center"/>
          </w:tcPr>
          <w:p>
            <w:pPr>
              <w:spacing w:after="20"/>
            </w:pPr>
            <w:r>
              <w:rPr>
                <w:sz w:val="15"/>
              </w:rPr>
              <w:t>KHÔNG KẾ THỪA</w:t>
            </w:r>
          </w:p>
        </w:tc>
        <w:tc>
          <w:tcPr>
            <w:tcW w:type="dxa" w:w="3197"/>
            <w:vAlign w:val="center"/>
          </w:tcPr>
          <w:p>
            <w:pPr>
              <w:spacing w:after="20"/>
            </w:pPr>
            <w:r>
              <w:rPr>
                <w:sz w:val="15"/>
              </w:rPr>
              <w:t>Ngày đến hạn ≠ ngày thu thực tế</w:t>
            </w:r>
          </w:p>
        </w:tc>
      </w:tr>
      <w:tr>
        <w:tc>
          <w:tcPr>
            <w:tcW w:type="dxa" w:w="3197"/>
            <w:vAlign w:val="center"/>
          </w:tcPr>
          <w:p>
            <w:pPr>
              <w:spacing w:after="20"/>
            </w:pPr>
            <w:r>
              <w:rPr>
                <w:sz w:val="15"/>
              </w:rPr>
              <w:t>Vendor → Payee</w:t>
            </w:r>
          </w:p>
        </w:tc>
        <w:tc>
          <w:tcPr>
            <w:tcW w:type="dxa" w:w="3197"/>
            <w:vAlign w:val="center"/>
          </w:tcPr>
          <w:p>
            <w:pPr>
              <w:spacing w:after="20"/>
            </w:pPr>
            <w:r>
              <w:rPr>
                <w:sz w:val="15"/>
              </w:rPr>
              <w:t>Chỉ gợi ý, bắt xác nhận</w:t>
            </w:r>
          </w:p>
        </w:tc>
        <w:tc>
          <w:tcPr>
            <w:tcW w:type="dxa" w:w="3197"/>
            <w:vAlign w:val="center"/>
          </w:tcPr>
          <w:p>
            <w:pPr>
              <w:spacing w:after="20"/>
            </w:pPr>
            <w:r>
              <w:rPr>
                <w:sz w:val="15"/>
              </w:rPr>
              <w:t>Bên trả tiền và bên nhận thực có thể khác</w:t>
            </w:r>
          </w:p>
        </w:tc>
      </w:tr>
      <w:tr>
        <w:tc>
          <w:tcPr>
            <w:tcW w:type="dxa" w:w="3197"/>
            <w:vAlign w:val="center"/>
          </w:tcPr>
          <w:p>
            <w:pPr>
              <w:spacing w:after="20"/>
            </w:pPr>
            <w:r>
              <w:rPr>
                <w:sz w:val="15"/>
              </w:rPr>
              <w:t>Carrier → Supplier</w:t>
            </w:r>
          </w:p>
        </w:tc>
        <w:tc>
          <w:tcPr>
            <w:tcW w:type="dxa" w:w="3197"/>
            <w:vAlign w:val="center"/>
          </w:tcPr>
          <w:p>
            <w:pPr>
              <w:spacing w:after="20"/>
            </w:pPr>
            <w:r>
              <w:rPr>
                <w:sz w:val="15"/>
              </w:rPr>
              <w:t>Không gộp vai trò</w:t>
            </w:r>
          </w:p>
        </w:tc>
        <w:tc>
          <w:tcPr>
            <w:tcW w:type="dxa" w:w="3197"/>
            <w:vAlign w:val="center"/>
          </w:tcPr>
          <w:p>
            <w:pPr>
              <w:spacing w:after="20"/>
            </w:pPr>
            <w:r>
              <w:rPr>
                <w:sz w:val="15"/>
              </w:rPr>
              <w:t>Hãng vận tải và đối tác chi phí khác ngữ nghĩa</w:t>
            </w:r>
          </w:p>
        </w:tc>
      </w:tr>
      <w:tr>
        <w:tc>
          <w:tcPr>
            <w:tcW w:type="dxa" w:w="3197"/>
            <w:vAlign w:val="center"/>
          </w:tcPr>
          <w:p>
            <w:pPr>
              <w:spacing w:after="20"/>
            </w:pPr>
            <w:r>
              <w:rPr>
                <w:sz w:val="15"/>
              </w:rPr>
              <w:t>Bill CW → Leg CW</w:t>
            </w:r>
          </w:p>
        </w:tc>
        <w:tc>
          <w:tcPr>
            <w:tcW w:type="dxa" w:w="3197"/>
            <w:vAlign w:val="center"/>
          </w:tcPr>
          <w:p>
            <w:pPr>
              <w:spacing w:after="20"/>
            </w:pPr>
            <w:r>
              <w:rPr>
                <w:sz w:val="15"/>
              </w:rPr>
              <w:t>Không tự lấy</w:t>
            </w:r>
          </w:p>
        </w:tc>
        <w:tc>
          <w:tcPr>
            <w:tcW w:type="dxa" w:w="3197"/>
            <w:vAlign w:val="center"/>
          </w:tcPr>
          <w:p>
            <w:pPr>
              <w:spacing w:after="20"/>
            </w:pPr>
            <w:r>
              <w:rPr>
                <w:sz w:val="15"/>
              </w:rPr>
              <w:t>Phạm vi lượng hàng của Leg khác Bill</w:t>
            </w:r>
          </w:p>
        </w:tc>
      </w:tr>
      <w:tr>
        <w:tc>
          <w:tcPr>
            <w:tcW w:type="dxa" w:w="3197"/>
            <w:vAlign w:val="center"/>
          </w:tcPr>
          <w:p>
            <w:pPr>
              <w:spacing w:after="20"/>
            </w:pPr>
            <w:r>
              <w:rPr>
                <w:sz w:val="15"/>
              </w:rPr>
              <w:t>Bill Gross → Shipment Gross</w:t>
            </w:r>
          </w:p>
        </w:tc>
        <w:tc>
          <w:tcPr>
            <w:tcW w:type="dxa" w:w="3197"/>
            <w:vAlign w:val="center"/>
          </w:tcPr>
          <w:p>
            <w:pPr>
              <w:spacing w:after="20"/>
            </w:pPr>
            <w:r>
              <w:rPr>
                <w:sz w:val="15"/>
              </w:rPr>
              <w:t>Chỉ rollup có phân bổ</w:t>
            </w:r>
          </w:p>
        </w:tc>
        <w:tc>
          <w:tcPr>
            <w:tcW w:type="dxa" w:w="3197"/>
            <w:vAlign w:val="center"/>
          </w:tcPr>
          <w:p>
            <w:pPr>
              <w:spacing w:after="20"/>
            </w:pPr>
            <w:r>
              <w:rPr>
                <w:sz w:val="15"/>
              </w:rPr>
              <w:t>Bill–Shipment N:N, tránh double count</w:t>
            </w:r>
          </w:p>
        </w:tc>
      </w:tr>
      <w:tr>
        <w:tc>
          <w:tcPr>
            <w:tcW w:type="dxa" w:w="3197"/>
            <w:vAlign w:val="center"/>
          </w:tcPr>
          <w:p>
            <w:pPr>
              <w:spacing w:after="20"/>
            </w:pPr>
            <w:r>
              <w:rPr>
                <w:sz w:val="15"/>
              </w:rPr>
              <w:t>Order đầu tiên → Bill</w:t>
            </w:r>
          </w:p>
        </w:tc>
        <w:tc>
          <w:tcPr>
            <w:tcW w:type="dxa" w:w="3197"/>
            <w:vAlign w:val="center"/>
          </w:tcPr>
          <w:p>
            <w:pPr>
              <w:spacing w:after="20"/>
            </w:pPr>
            <w:r>
              <w:rPr>
                <w:sz w:val="15"/>
              </w:rPr>
              <w:t>Không tự chọn</w:t>
            </w:r>
          </w:p>
        </w:tc>
        <w:tc>
          <w:tcPr>
            <w:tcW w:type="dxa" w:w="3197"/>
            <w:vAlign w:val="center"/>
          </w:tcPr>
          <w:p>
            <w:pPr>
              <w:spacing w:after="20"/>
            </w:pPr>
            <w:r>
              <w:rPr>
                <w:sz w:val="15"/>
              </w:rPr>
              <w:t>Order–Bill N:N, dữ liệu nguồn có thể mâu thuẫn</w:t>
            </w:r>
          </w:p>
        </w:tc>
      </w:tr>
      <w:tr>
        <w:tc>
          <w:tcPr>
            <w:tcW w:type="dxa" w:w="3197"/>
            <w:vAlign w:val="center"/>
          </w:tcPr>
          <w:p>
            <w:pPr>
              <w:spacing w:after="20"/>
            </w:pPr>
            <w:r>
              <w:rPr>
                <w:sz w:val="15"/>
              </w:rPr>
              <w:t>Rate Card header mode → Surcharge</w:t>
            </w:r>
          </w:p>
        </w:tc>
        <w:tc>
          <w:tcPr>
            <w:tcW w:type="dxa" w:w="3197"/>
            <w:vAlign w:val="center"/>
          </w:tcPr>
          <w:p>
            <w:pPr>
              <w:spacing w:after="20"/>
            </w:pPr>
            <w:r>
              <w:rPr>
                <w:sz w:val="15"/>
              </w:rPr>
              <w:t>Chỉ khi duy nhất</w:t>
            </w:r>
          </w:p>
        </w:tc>
        <w:tc>
          <w:tcPr>
            <w:tcW w:type="dxa" w:w="3197"/>
            <w:vAlign w:val="center"/>
          </w:tcPr>
          <w:p>
            <w:pPr>
              <w:spacing w:after="20"/>
            </w:pPr>
            <w:r>
              <w:rPr>
                <w:sz w:val="15"/>
              </w:rPr>
              <w:t>Rate Card đã cho đa tuyến/đa phương thức</w:t>
            </w:r>
          </w:p>
        </w:tc>
      </w:tr>
      <w:tr>
        <w:tc>
          <w:tcPr>
            <w:tcW w:type="dxa" w:w="3197"/>
            <w:vAlign w:val="center"/>
          </w:tcPr>
          <w:p>
            <w:pPr>
              <w:spacing w:after="20"/>
            </w:pPr>
            <w:r>
              <w:rPr>
                <w:sz w:val="15"/>
              </w:rPr>
              <w:t>Commodity đầu tiên → Shipment</w:t>
            </w:r>
          </w:p>
        </w:tc>
        <w:tc>
          <w:tcPr>
            <w:tcW w:type="dxa" w:w="3197"/>
            <w:vAlign w:val="center"/>
          </w:tcPr>
          <w:p>
            <w:pPr>
              <w:spacing w:after="20"/>
            </w:pPr>
            <w:r>
              <w:rPr>
                <w:sz w:val="15"/>
              </w:rPr>
              <w:t>Không tự chọn</w:t>
            </w:r>
          </w:p>
        </w:tc>
        <w:tc>
          <w:tcPr>
            <w:tcW w:type="dxa" w:w="3197"/>
            <w:vAlign w:val="center"/>
          </w:tcPr>
          <w:p>
            <w:pPr>
              <w:spacing w:after="20"/>
            </w:pPr>
            <w:r>
              <w:rPr>
                <w:sz w:val="15"/>
              </w:rPr>
              <w:t>Shipment có thể gồm nhiều loại hàng</w:t>
            </w:r>
          </w:p>
        </w:tc>
      </w:tr>
    </w:tbl>
    <w:p>
      <w:pPr>
        <w:pStyle w:val="Heading1"/>
      </w:pPr>
      <w:r>
        <w:t>6. Rà soát 289 trường trên tất cả giao diện</w:t>
      </w:r>
    </w:p>
    <w:p>
      <w:r>
        <w:t>Sheet '02 Kiểm kê 289 trường' trong file Excel giữ lại nguyên 16 cột AS-IS, đồng thời thêm hướng nhập TO-BE, cảnh báo và dấu liên quan 73 cặp. Phân loại theo hướng dữ liệu: danh mục chuẩn, gợi ý theo đối tượng liên kết, dữ liệu do hệ thống sinh/tính, thông số thực tế cần nhập, nguồn ngoài và override.</w:t>
      </w:r>
    </w:p>
    <w:p>
      <w:r>
        <w:t>Với các trường ngoài 73 cặp kiểm kê, BA chỉ đưa ra hướng kiểm tra sơ bộ (không mặc định là trùng lặp thật). DEV phải xác nhận trường tương ứng tại UI hiện hữu và hành vi API trước khi xoá hoặc chuyển thành read-only.</w:t>
      </w:r>
    </w:p>
    <w:tbl>
      <w:tblPr>
        <w:tblStyle w:val="LightShading-Accent1"/>
        <w:tblW w:type="auto" w:w="0"/>
        <w:jc w:val="center"/>
        <w:tblLayout w:type="autofit"/>
        <w:tblLook w:firstColumn="1" w:firstRow="1" w:lastColumn="0" w:lastRow="0" w:noHBand="0" w:noVBand="1" w:val="04A0"/>
      </w:tblPr>
      <w:tblGrid>
        <w:gridCol w:w="4795"/>
        <w:gridCol w:w="4795"/>
      </w:tblGrid>
      <w:tr>
        <w:tc>
          <w:tcPr>
            <w:tcW w:type="dxa" w:w="4795"/>
            <w:vAlign w:val="center"/>
          </w:tcPr>
          <w:p>
            <w:r>
              <w:rPr>
                <w:b/>
                <w:sz w:val="16"/>
              </w:rPr>
              <w:t>Nhóm giao diện khác</w:t>
            </w:r>
          </w:p>
        </w:tc>
        <w:tc>
          <w:tcPr>
            <w:tcW w:type="dxa" w:w="4795"/>
            <w:vAlign w:val="center"/>
          </w:tcPr>
          <w:p>
            <w:r>
              <w:rPr>
                <w:b/>
                <w:sz w:val="16"/>
              </w:rPr>
              <w:t>Hướng rà soát trọng tâm</w:t>
            </w:r>
          </w:p>
        </w:tc>
      </w:tr>
      <w:tr>
        <w:tc>
          <w:tcPr>
            <w:tcW w:type="dxa" w:w="4795"/>
            <w:vAlign w:val="center"/>
          </w:tcPr>
          <w:p>
            <w:pPr>
              <w:spacing w:after="20"/>
            </w:pPr>
            <w:r>
              <w:rPr>
                <w:sz w:val="15"/>
              </w:rPr>
              <w:t>Waybill</w:t>
            </w:r>
          </w:p>
        </w:tc>
        <w:tc>
          <w:tcPr>
            <w:tcW w:type="dxa" w:w="4795"/>
            <w:vAlign w:val="center"/>
          </w:tcPr>
          <w:p>
            <w:pPr>
              <w:spacing w:after="20"/>
            </w:pPr>
            <w:r>
              <w:rPr>
                <w:sz w:val="15"/>
              </w:rPr>
              <w:t>Gợi ý liên hệ người gửi/nhận từ Bill hoặc đối tác; vẫn cho khác nếu là contact giao hàng</w:t>
            </w:r>
          </w:p>
        </w:tc>
      </w:tr>
      <w:tr>
        <w:tc>
          <w:tcPr>
            <w:tcW w:type="dxa" w:w="4795"/>
            <w:vAlign w:val="center"/>
          </w:tcPr>
          <w:p>
            <w:pPr>
              <w:spacing w:after="20"/>
            </w:pPr>
            <w:r>
              <w:rPr>
                <w:sz w:val="15"/>
              </w:rPr>
              <w:t>Tạo Chi phí/Doanh thu</w:t>
            </w:r>
          </w:p>
        </w:tc>
        <w:tc>
          <w:tcPr>
            <w:tcW w:type="dxa" w:w="4795"/>
            <w:vAlign w:val="center"/>
          </w:tcPr>
          <w:p>
            <w:pPr>
              <w:spacing w:after="20"/>
            </w:pPr>
            <w:r>
              <w:rPr>
                <w:sz w:val="15"/>
              </w:rPr>
              <w:t>Bill, đối tác, currency, charge category được gợi ý từ context/Rating; thuế và amount theo source</w:t>
            </w:r>
          </w:p>
        </w:tc>
      </w:tr>
      <w:tr>
        <w:tc>
          <w:tcPr>
            <w:tcW w:type="dxa" w:w="4795"/>
            <w:vAlign w:val="center"/>
          </w:tcPr>
          <w:p>
            <w:pPr>
              <w:spacing w:after="20"/>
            </w:pPr>
            <w:r>
              <w:rPr>
                <w:sz w:val="15"/>
              </w:rPr>
              <w:t>Chứng từ tài chính</w:t>
            </w:r>
          </w:p>
        </w:tc>
        <w:tc>
          <w:tcPr>
            <w:tcW w:type="dxa" w:w="4795"/>
            <w:vAlign w:val="center"/>
          </w:tcPr>
          <w:p>
            <w:pPr>
              <w:spacing w:after="20"/>
            </w:pPr>
            <w:r>
              <w:rPr>
                <w:sz w:val="15"/>
              </w:rPr>
              <w:t>Chế độ tạo từ LCMS khác tiếp nhận hóa đơn bên ngoài; không auto-copy nhầm chứng từ</w:t>
            </w:r>
          </w:p>
        </w:tc>
      </w:tr>
      <w:tr>
        <w:tc>
          <w:tcPr>
            <w:tcW w:type="dxa" w:w="4795"/>
            <w:vAlign w:val="center"/>
          </w:tcPr>
          <w:p>
            <w:pPr>
              <w:spacing w:after="20"/>
            </w:pPr>
            <w:r>
              <w:rPr>
                <w:sz w:val="15"/>
              </w:rPr>
              <w:t>Cash/Bank Feed</w:t>
            </w:r>
          </w:p>
        </w:tc>
        <w:tc>
          <w:tcPr>
            <w:tcW w:type="dxa" w:w="4795"/>
            <w:vAlign w:val="center"/>
          </w:tcPr>
          <w:p>
            <w:pPr>
              <w:spacing w:after="20"/>
            </w:pPr>
            <w:r>
              <w:rPr>
                <w:sz w:val="15"/>
              </w:rPr>
              <w:t>Ngân hàng nguồn cho dòng sao kê; không hỏi nhập lại ngày/số tiền nếu import hợp lệ</w:t>
            </w:r>
          </w:p>
        </w:tc>
      </w:tr>
      <w:tr>
        <w:tc>
          <w:tcPr>
            <w:tcW w:type="dxa" w:w="4795"/>
            <w:vAlign w:val="center"/>
          </w:tcPr>
          <w:p>
            <w:pPr>
              <w:spacing w:after="20"/>
            </w:pPr>
            <w:r>
              <w:rPr>
                <w:sz w:val="15"/>
              </w:rPr>
              <w:t>Danh mục</w:t>
            </w:r>
          </w:p>
        </w:tc>
        <w:tc>
          <w:tcPr>
            <w:tcW w:type="dxa" w:w="4795"/>
            <w:vAlign w:val="center"/>
          </w:tcPr>
          <w:p>
            <w:pPr>
              <w:spacing w:after="20"/>
            </w:pPr>
            <w:r>
              <w:rPr>
                <w:sz w:val="15"/>
              </w:rPr>
              <w:t>Form quản trị danh mục vẫn cần nhập mã/tên; các form nghiệp vụ phải dùng picker</w:t>
            </w:r>
          </w:p>
        </w:tc>
      </w:tr>
      <w:tr>
        <w:tc>
          <w:tcPr>
            <w:tcW w:type="dxa" w:w="4795"/>
            <w:vAlign w:val="center"/>
          </w:tcPr>
          <w:p>
            <w:pPr>
              <w:spacing w:after="20"/>
            </w:pPr>
            <w:r>
              <w:rPr>
                <w:sz w:val="15"/>
              </w:rPr>
              <w:t>Rate Rule</w:t>
            </w:r>
          </w:p>
        </w:tc>
        <w:tc>
          <w:tcPr>
            <w:tcW w:type="dxa" w:w="4795"/>
            <w:vAlign w:val="center"/>
          </w:tcPr>
          <w:p>
            <w:pPr>
              <w:spacing w:after="20"/>
            </w:pPr>
            <w:r>
              <w:rPr>
                <w:sz w:val="15"/>
              </w:rPr>
              <w:t>Mã/Tên quy tắc tự sinh theo RATE-UI-05..07; phân biệt rule competition với economic category</w:t>
            </w:r>
          </w:p>
        </w:tc>
      </w:tr>
    </w:tbl>
    <w:p>
      <w:pPr>
        <w:pStyle w:val="Heading1"/>
      </w:pPr>
      <w:r>
        <w:t>7. DEV backlog, tiêu chí nghiệm thu và thứ tự triển khai</w:t>
      </w:r>
    </w:p>
    <w:tbl>
      <w:tblPr>
        <w:tblStyle w:val="LightShading-Accent1"/>
        <w:tblW w:type="auto" w:w="0"/>
        <w:jc w:val="center"/>
        <w:tblLayout w:type="autofit"/>
        <w:tblLook w:firstColumn="1" w:firstRow="1" w:lastColumn="0" w:lastRow="0" w:noHBand="0" w:noVBand="1" w:val="04A0"/>
      </w:tblPr>
      <w:tblGrid>
        <w:gridCol w:w="3197"/>
        <w:gridCol w:w="3197"/>
        <w:gridCol w:w="3197"/>
      </w:tblGrid>
      <w:tr>
        <w:tc>
          <w:tcPr>
            <w:tcW w:type="dxa" w:w="3197"/>
            <w:vAlign w:val="center"/>
          </w:tcPr>
          <w:p>
            <w:r>
              <w:rPr>
                <w:b/>
                <w:sz w:val="16"/>
              </w:rPr>
              <w:t>Giai đoạn</w:t>
            </w:r>
          </w:p>
        </w:tc>
        <w:tc>
          <w:tcPr>
            <w:tcW w:type="dxa" w:w="3197"/>
            <w:vAlign w:val="center"/>
          </w:tcPr>
          <w:p>
            <w:r>
              <w:rPr>
                <w:b/>
                <w:sz w:val="16"/>
              </w:rPr>
              <w:t>Hạng mục</w:t>
            </w:r>
          </w:p>
        </w:tc>
        <w:tc>
          <w:tcPr>
            <w:tcW w:type="dxa" w:w="3197"/>
            <w:vAlign w:val="center"/>
          </w:tcPr>
          <w:p>
            <w:r>
              <w:rPr>
                <w:b/>
                <w:sz w:val="16"/>
              </w:rPr>
              <w:t>Điều kiện hoàn thành</w:t>
            </w:r>
          </w:p>
        </w:tc>
      </w:tr>
      <w:tr>
        <w:tc>
          <w:tcPr>
            <w:tcW w:type="dxa" w:w="3197"/>
            <w:vAlign w:val="center"/>
          </w:tcPr>
          <w:p>
            <w:pPr>
              <w:spacing w:after="20"/>
            </w:pPr>
            <w:r>
              <w:rPr>
                <w:sz w:val="15"/>
              </w:rPr>
              <w:t>P0 — dữ liệu vận hành</w:t>
            </w:r>
          </w:p>
        </w:tc>
        <w:tc>
          <w:tcPr>
            <w:tcW w:type="dxa" w:w="3197"/>
            <w:vAlign w:val="center"/>
          </w:tcPr>
          <w:p>
            <w:pPr>
              <w:spacing w:after="20"/>
            </w:pPr>
            <w:r>
              <w:rPr>
                <w:sz w:val="15"/>
              </w:rPr>
              <w:t>DO-01/02/03/05/06/10/11</w:t>
            </w:r>
          </w:p>
        </w:tc>
        <w:tc>
          <w:tcPr>
            <w:tcW w:type="dxa" w:w="3197"/>
            <w:vAlign w:val="center"/>
          </w:tcPr>
          <w:p>
            <w:pPr>
              <w:spacing w:after="20"/>
            </w:pPr>
            <w:r>
              <w:rPr>
                <w:sz w:val="15"/>
              </w:rPr>
              <w:t>Prefill an toàn, nguồn rõ, không duplicate N:N; economic mapping được xác minh</w:t>
            </w:r>
          </w:p>
        </w:tc>
      </w:tr>
      <w:tr>
        <w:tc>
          <w:tcPr>
            <w:tcW w:type="dxa" w:w="3197"/>
            <w:vAlign w:val="center"/>
          </w:tcPr>
          <w:p>
            <w:pPr>
              <w:spacing w:after="20"/>
            </w:pPr>
            <w:r>
              <w:rPr>
                <w:sz w:val="15"/>
              </w:rPr>
              <w:t>P1 — chuỗi vận tải/tài chính</w:t>
            </w:r>
          </w:p>
        </w:tc>
        <w:tc>
          <w:tcPr>
            <w:tcW w:type="dxa" w:w="3197"/>
            <w:vAlign w:val="center"/>
          </w:tcPr>
          <w:p>
            <w:pPr>
              <w:spacing w:after="20"/>
            </w:pPr>
            <w:r>
              <w:rPr>
                <w:sz w:val="15"/>
              </w:rPr>
              <w:t>DO-04/07/08/09</w:t>
            </w:r>
          </w:p>
        </w:tc>
        <w:tc>
          <w:tcPr>
            <w:tcW w:type="dxa" w:w="3197"/>
            <w:vAlign w:val="center"/>
          </w:tcPr>
          <w:p>
            <w:pPr>
              <w:spacing w:after="20"/>
            </w:pPr>
            <w:r>
              <w:rPr>
                <w:sz w:val="15"/>
              </w:rPr>
              <w:t>Gợi ý theo liên kết và đúng counterparty/date; không ép ngữ cảnh sai</w:t>
            </w:r>
          </w:p>
        </w:tc>
      </w:tr>
      <w:tr>
        <w:tc>
          <w:tcPr>
            <w:tcW w:type="dxa" w:w="3197"/>
            <w:vAlign w:val="center"/>
          </w:tcPr>
          <w:p>
            <w:pPr>
              <w:spacing w:after="20"/>
            </w:pPr>
            <w:r>
              <w:rPr>
                <w:sz w:val="15"/>
              </w:rPr>
              <w:t>P1 — UAT chất lượng</w:t>
            </w:r>
          </w:p>
        </w:tc>
        <w:tc>
          <w:tcPr>
            <w:tcW w:type="dxa" w:w="3197"/>
            <w:vAlign w:val="center"/>
          </w:tcPr>
          <w:p>
            <w:pPr>
              <w:spacing w:after="20"/>
            </w:pPr>
            <w:r>
              <w:rPr>
                <w:sz w:val="15"/>
              </w:rPr>
              <w:t>DO-12</w:t>
            </w:r>
          </w:p>
        </w:tc>
        <w:tc>
          <w:tcPr>
            <w:tcW w:type="dxa" w:w="3197"/>
            <w:vAlign w:val="center"/>
          </w:tcPr>
          <w:p>
            <w:pPr>
              <w:spacing w:after="20"/>
            </w:pPr>
            <w:r>
              <w:rPr>
                <w:sz w:val="15"/>
              </w:rPr>
              <w:t>Chạy đầy đủ 32 ca UAT ở Excel, đặc biệt conflict, multimodal, historical, cash</w:t>
            </w:r>
          </w:p>
        </w:tc>
      </w:tr>
    </w:tbl>
    <w:p>
      <w:r>
        <w:t>Lưu ý: Đây là thứ tự ưu tiên triển khai đề xuất để giảm nhập trùng. Không gán thời gian/kết quả thực tế khi chưa có code và UAT.</w:t>
      </w:r>
    </w:p>
    <w:p>
      <w:pPr>
        <w:pStyle w:val="Heading1"/>
      </w:pPr>
      <w:r>
        <w:t>8. GAP cần DEV xác minh trước khi triển khai</w:t>
      </w:r>
    </w:p>
    <w:p>
      <w:pPr>
        <w:pStyle w:val="ListBullet"/>
      </w:pPr>
      <w:r>
        <w:rPr>
          <w:b/>
        </w:rPr>
        <w:t xml:space="preserve">GAP-01 — Số phân hệ Word khác Excel: </w:t>
      </w:r>
      <w:r>
        <w:t>Dùng số đếm Excel; DEV xác nhận version/logic báo cáo.</w:t>
      </w:r>
    </w:p>
    <w:p>
      <w:pPr>
        <w:pStyle w:val="ListBullet"/>
      </w:pPr>
      <w:r>
        <w:rPr>
          <w:b/>
        </w:rPr>
        <w:t xml:space="preserve">GAP-02 — Bằng chứng 'kiểm kê 100%' chưa được tái xác minh: </w:t>
      </w:r>
      <w:r>
        <w:t>Đòi kèm commit SHA, thời điểm build, phương pháp phát hiện trường; đối chiếu repo khi triển khai.</w:t>
      </w:r>
    </w:p>
    <w:p>
      <w:pPr>
        <w:pStyle w:val="ListBullet"/>
      </w:pPr>
      <w:r>
        <w:rPr>
          <w:b/>
        </w:rPr>
        <w:t xml:space="preserve">GAP-03 — Trường Rate Card header lệch baseline mới: </w:t>
      </w:r>
      <w:r>
        <w:t>DEV xác định UI version, scope, header fallback; không tái tạo nhập lặp.</w:t>
      </w:r>
    </w:p>
    <w:p>
      <w:pPr>
        <w:pStyle w:val="ListBullet"/>
      </w:pPr>
      <w:r>
        <w:rPr>
          <w:b/>
        </w:rPr>
        <w:t xml:space="preserve">GAP-04 — Mapping Economic Category có xung đột hai đợt AS-IS: </w:t>
      </w:r>
      <w:r>
        <w:t>Xác minh schema thực và test mới; không đổi engine trước.</w:t>
      </w:r>
    </w:p>
    <w:p>
      <w:pPr>
        <w:pStyle w:val="ListBullet"/>
      </w:pPr>
      <w:r>
        <w:rPr>
          <w:b/>
        </w:rPr>
        <w:t xml:space="preserve">GAP-06 — Rollup toàn phần Bill sang Shipment: </w:t>
      </w:r>
      <w:r>
        <w:t>Cần allocation/quantity basis để tránh nhân đôi.</w:t>
      </w:r>
    </w:p>
    <w:p>
      <w:pPr>
        <w:pStyle w:val="ListBullet"/>
      </w:pPr>
      <w:r>
        <w:rPr>
          <w:b/>
        </w:rPr>
        <w:t xml:space="preserve">GAP-08 — Due date -&gt; collection date trong ma trận: </w:t>
      </w:r>
      <w:r>
        <w:t>Không kế thừa; lấy ngày giao dịch thực tế.</w:t>
      </w:r>
    </w:p>
    <w:p>
      <w:pPr>
        <w:pStyle w:val="ListBullet"/>
      </w:pPr>
      <w:r>
        <w:rPr>
          <w:b/>
        </w:rPr>
        <w:t xml:space="preserve">GAP-12 — Khai báo Chặng chưa có weight trong 289 field list: </w:t>
      </w:r>
      <w:r>
        <w:t>Xác minh dữ liệu Leg weight nằm workflow nào; bổ sung inventory.</w:t>
      </w:r>
    </w:p>
    <w:p>
      <w:r>
        <w:t>Đặc biệt: Excel liệt kê 13 trường của form Chặng nhưng chưa thấy Gross/Chargeable Weight ở nhóm này, trong khi Rating theo Leg đòi nguồn trọng lượng độc lập. DEV cần chỉ rõ nơi dữ liệu trọng lượng chặng được lưu/nhập và API/validation đang dùng.</w:t>
      </w:r>
    </w:p>
    <w:p>
      <w:pPr>
        <w:pStyle w:val="Heading1"/>
      </w:pPr>
      <w:r>
        <w:t>9. DEV handover — điều kiện triển khai và nghiệm thu</w:t>
      </w:r>
    </w:p>
    <w:p>
      <w:pPr>
        <w:pStyle w:val="ListBullet"/>
      </w:pPr>
      <w:r>
        <w:t>Đính kèm commit SHA/build hash để chốt AS-IS; làm rõ các điểm source mapping mâu thuẫn và lệch phân nhóm.</w:t>
      </w:r>
    </w:p>
    <w:p>
      <w:pPr>
        <w:pStyle w:val="ListBullet"/>
      </w:pPr>
      <w:r>
        <w:t>Không chỉnh sửa dữ liệu phát hành/đã ghi nhận, không xóa cột database nếu chưa có migration tương thích và đối chiếu tác động.</w:t>
      </w:r>
    </w:p>
    <w:p>
      <w:pPr>
        <w:pStyle w:val="ListBullet"/>
      </w:pPr>
      <w:r>
        <w:t>Giữ nguyên API/manual/import canonical validation; mọi tính năng prefill cần biểu thị source/provenance.</w:t>
      </w:r>
    </w:p>
    <w:p>
      <w:pPr>
        <w:pStyle w:val="ListBullet"/>
      </w:pPr>
      <w:r>
        <w:t>Bàn giao mapping API/data, ảnh UI trước/sau và bằng chứng test cho 32 UAT case, kết quả theo môi trường đã thử.</w:t>
      </w:r>
    </w:p>
    <w:p>
      <w:pPr>
        <w:pStyle w:val="ListBullet"/>
      </w:pPr>
      <w:r>
        <w:t>Mọi GAP tác động nghiệp vụ/SoT/giá trị tài chính phải được giải trình trước khi code; không tạo quyết định mới bằng suy đoán.</w:t>
      </w:r>
    </w:p>
    <w:p>
      <w:pPr>
        <w:pStyle w:val="ListBullet"/>
      </w:pPr>
      <w:r>
        <w:t>Chỉ coi triển khai đạt khi cải thiện giảm nhập mà không tăng trường phải xác nhận không cần thiết hoặc làm sai kết quả tài chính.</w:t>
      </w:r>
    </w:p>
    <w:p>
      <w:pPr>
        <w:pStyle w:val="Heading1"/>
      </w:pPr>
      <w:r>
        <w:t>10. Trạng thái và quyết định PO</w:t>
      </w:r>
    </w:p>
    <w:p>
      <w:r>
        <w:t>Tình trạng: [BA TO-BE DRAFT v0.9 — COMPLETED ANALYSIS]. Các nguyên tắc nguồn dữ liệu, Bill/Leg, phiên bản giá, phân quyền và lịch sử tài chính kế thừa baseline đã khóa. Những phương án tối ưu hóa ở đây là chi tiết thiết kế BA dựa trên phản hồi AS-IS của DEV, không mặc định đã được PO phê duyệt từng mục hoặc là yêu cầu DEV triển khai ngay.</w:t>
      </w:r>
    </w:p>
    <w:p>
      <w:r>
        <w:t>Chưa có quyết định nghiệp vụ mới bắt buộc phải hỏi PO. DEV cần xác minh bốn nhóm kỹ thuật trọng điểm: build chính thức, Rate Card header, economic mapping và dữ liệu trọng lượng Leg. Nếu xuất hiện xung đột thực chất với baseline, BA mới lập [CẦN QUYẾT ĐỊNH PO].</w:t>
      </w:r>
    </w:p>
    <w:p>
      <w:pPr>
        <w:pStyle w:val="Heading2"/>
      </w:pPr>
      <w:r>
        <w:t>Tài liệu tham chiếu</w:t>
      </w:r>
    </w:p>
    <w:p>
      <w:pPr>
        <w:pStyle w:val="ListBullet"/>
      </w:pPr>
      <w:r>
        <w:t>LCMS_ASIS_Field_Inventory_And_Inheritance_Matrix.xlsx — DEV 20/10/2026.</w:t>
      </w:r>
    </w:p>
    <w:p>
      <w:pPr>
        <w:pStyle w:val="ListBullet"/>
      </w:pPr>
      <w:r>
        <w:t>LCMS_ASIS_Data_Flow_And_Inheritance_Rules.docx — DEV 20/10/2026.</w:t>
      </w:r>
    </w:p>
    <w:p>
      <w:pPr>
        <w:pStyle w:val="ListBullet"/>
      </w:pPr>
      <w:r>
        <w:t>LCMS_PROJECT_LOCKED_BASELINE_REGISTER_v1.0.docx — baseline kiến trúc.</w:t>
      </w:r>
    </w:p>
    <w:p>
      <w:pPr>
        <w:pStyle w:val="ListBullet"/>
      </w:pPr>
      <w:r>
        <w:t>LCMS_02A_Operational_Reference_Data_Field_Specification_v1.0.docx — phạm vi dữ liệu tham chiếu vận hành.</w:t>
      </w:r>
    </w:p>
    <w:p>
      <w:pPr>
        <w:pStyle w:val="ListBullet"/>
      </w:pPr>
      <w:r>
        <w:t>LCMS_BA_RATE_RATING_BASELINE_DEV_HANDOVER_v1.1_20261016.docx — baseline bảng giá.</w:t>
      </w:r>
    </w:p>
    <w:sectPr w:rsidR="00FC693F" w:rsidRPr="0006063C" w:rsidSect="00034616">
      <w:headerReference w:type="default" r:id="rId9"/>
      <w:footerReference w:type="default" r:id="rId10"/>
      <w:pgSz w:w="11909" w:h="16834"/>
      <w:pgMar w:top="1123" w:right="1123" w:bottom="1008" w:left="119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48B"/>
        <w:sz w:val="14"/>
      </w:rPr>
      <w:t>BA TO-BE v0.9  •  20/10/2026  •  Tài liệu thiết kế — không thay thế AS-IS gốc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45607B"/>
      </w:rPr>
      <w:t>LCMS  /  BUSINESS ANALYSIS  /  DATA ENTRY &amp; INHERITANCE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263344"/>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w:hAnsi="Aptos"/>
      <w:b/>
      <w:bCs/>
      <w:color w:val="124167"/>
      <w:sz w:val="2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195987"/>
      <w:sz w:val="22"/>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w:hAnsi="Aptos"/>
      <w:b/>
      <w:bCs/>
      <w:color w:val="255F7B"/>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20"/>
      <w:contextualSpacing/>
    </w:pPr>
    <w:rPr>
      <w:rFonts w:asciiTheme="majorHAnsi" w:eastAsiaTheme="majorEastAsia" w:hAnsiTheme="majorHAnsi" w:cstheme="majorBidi" w:ascii="Aptos Display" w:hAnsi="Aptos Display"/>
      <w:b/>
      <w:color w:val="113253"/>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