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Segoe UI" w:hAnsi="Segoe UI"/>
          <w:b/>
          <w:color w:val="1F497D"/>
          <w:sz w:val="34"/>
        </w:rPr>
        <w:t>BÁO CÁO KIỂM KÊ TOÀN HỆ THỐNG AS-IS (SYSTEM AUDIT):</w:t>
        <w:br/>
        <w:t>LUỒNG DỮ LIỆU, TRÙNG LẶP &amp; LOGIC KẾ THỪA TRÊN LCMS</w:t>
      </w:r>
    </w:p>
    <w:p>
      <w:pPr>
        <w:spacing w:after="360"/>
        <w:jc w:val="center"/>
      </w:pPr>
      <w:r>
        <w:rPr>
          <w:rFonts w:ascii="Segoe UI" w:hAnsi="Segoe UI"/>
          <w:i/>
          <w:color w:val="595959"/>
          <w:sz w:val="21"/>
        </w:rPr>
        <w:t>Tài liệu Bàn giao Kỹ thuật phục vụ Tối ưu hóa Nhập liệu (Baseline cho PO &amp; BA Thiết kế TO-BE)</w:t>
        <w:br/>
        <w:t>Dự án: Logistics Cost Management System (LCMS) — Phiên bản Kiểm kê Vét cạn: 20/10/2026</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40" w:after="80"/>
            </w:pPr>
            <w:r>
              <w:rPr>
                <w:rFonts w:ascii="Segoe UI" w:hAnsi="Segoe UI"/>
                <w:b/>
                <w:color w:val="1F497D"/>
                <w:sz w:val="20"/>
              </w:rPr>
              <w:t>[NGUYÊN TẮC BẮT BUỘC ĐÃ TUÂN THỦ TRONG BÁO CÁO]</w:t>
              <w:br/>
            </w:r>
            <w:r>
              <w:rPr>
                <w:rFonts w:ascii="Segoe UI" w:hAnsi="Segoe UI"/>
                <w:color w:val="323232"/>
                <w:sz w:val="19"/>
              </w:rPr>
              <w:t>1. Chế độ kiểm kê chỉ đọc (Strictly Read-Only Audit): Không can thiệp, sửa đổi mã nguồn ứng dụng, schema database, hay API contract.</w:t>
              <w:br/>
              <w:t>2. Nguyên tắc Bằng chứng Thực tế (Evidence-Based Only): Toàn bộ 289 trường dữ liệu tại Sheet 1 và 73 cặp luồng đối chiếu tại Sheet 2 đều được trích xuất trực tiếp từ mã nguồn Frontend Next.js, Minimal APIs ASP.NET Core, EF Core DbContext Snapshot và bộ kiểm thử xUnit hiện hành.</w:t>
              <w:br/>
              <w:t>3. Tuyệt đối tôn trọng các định đề kiến trúc đã khóa (H-001 đến H-012): Hệ thống vận hành là Source of Truth cho vận hành; Bill là Financial Anchor tối thiểu; Single Economic Cost/Revenue; phân biệt rạch ròi Expected / Confirmed / Actual; đóng băng bất biến dữ liệu đã chốt kỳ.</w:t>
            </w:r>
          </w:p>
        </w:tc>
      </w:tr>
    </w:tbl>
    <w:p>
      <w:pPr>
        <w:spacing w:after="120"/>
      </w:pPr>
    </w:p>
    <w:p>
      <w:pPr>
        <w:pStyle w:val="Heading1"/>
        <w:spacing w:before="280" w:after="120"/>
      </w:pPr>
      <w:r>
        <w:t>1. Tổng quan Phạm vi &amp; Phương pháp luận Kiểm kê</w:t>
      </w:r>
    </w:p>
    <w:p>
      <w:pPr>
        <w:spacing w:after="120"/>
      </w:pPr>
      <w:r>
        <w:t>Thực hiện theo chỉ thị từ PO và BA tại tài liệu 'LCMS - YÊU CẦU KIỂM KÊ TOÀN HỆ THỐNG PHỤC VỤ TỐI ƯU NHẬP LIỆU.docx', đội ngũ System Architect đã tiến hành rà soát kỹ thuật độc lập toàn bộ kho mã nguồn của hệ thống LCMS. Khác với các đợt rà soát mẫu (sampling), báo cáo này áp dụng phương pháp kiểm kê vét cạn 100% (Exhaustive Full-System Inventory), quét sạch toàn bộ 99 trang giao diện người dùng (Next.js Pages/Components), 27 cụm API Minimal Endpoints (ASP.NET Core), 100 bảng vật lý trong cơ sở dữ liệu PostgreSQL (thông qua LcmsDbContextModelSnapshot), cùng 73 file test tự động trong LCMS.Api.Tests.</w:t>
      </w:r>
    </w:p>
    <w:p>
      <w:pPr>
        <w:spacing w:after="160"/>
      </w:pPr>
      <w:r>
        <w:t>Toàn bộ 289 trường nhập liệu và 73 luồng đối chiếu đã được cấu trúc hóa theo 5 nhóm phân hệ nghiệp vụ chính:</w:t>
        <w:br/>
        <w:t>• Nhóm 1 — Vận hành (Operational Context - 113 trường): Quản lý Đơn hàng (Order: 30 trường), Mỏ neo tài chính (Bill: 32 trường), Lô hàng gom (Shipment: 18 trường), Chặng vận chuyển (Transport Leg: 13 trường), Chuyến xe/chuyến bay thực tế (Transport Movement: 10 trường), và Khai báo vận đơn bưu kiện (Waybill: 10 trường).</w:t>
        <w:br/>
        <w:t>• Nhóm 2 — Bảng giá &amp; Tính giá (Pricing &amp; Rating - 60 trường): Khai báo Bảng giá BUY/SELL (Rate Card Header: 11 trường, Rate Versions &amp; VAT: 7 trường), Quy tắc tính giá cơ bản &amp; ma trận nâng cao (Pricing Rules &amp; Breaks: 13 trường), Phụ phí độc lập/gắn kèm (Surcharges: 12 trường), và Màn hình tính giá tích hợp (Rate Bill: 17 trường).</w:t>
        <w:br/>
        <w:t>• Nhóm 3 — Chi phí, Doanh thu &amp; Chứng từ (Cost, Revenue &amp; Documents - 45 trường): Khai báo &amp; Điều chỉnh Chi phí trực tiếp (Direct Cost: 13 trường), Chi phí dùng chung &amp; Phân bổ (Shared Cost &amp; Cost Allocation: 7 trường), Doanh thu trực tiếp &amp; Điều chỉnh (Direct Revenue: 12 trường), Tiếp nhận &amp; Khớp dòng hóa đơn/chứng từ (Financial Documents &amp; Matching: 13 trường).</w:t>
        <w:br/>
        <w:t>• Nhóm 4 — Công nợ &amp; Dòng tiền (Debt &amp; Cash Flow - 35 trường): Đầy đủ cả 2 nhánh nghiệp vụ đối xứng: Nhánh Phải trả &amp; Chi tiền (Payable Exposure, AP Ledger, Payment, Payment Allocation: 13 trường), Nhánh Phải thu &amp; Thu tiền (Receivable Exposure, AR Ledger, Collection, Collection Allocation: 12 trường), cùng Đối soát sổ phụ &amp; Chốt kỳ tài chính bất biến (Bank Feed, Reconciliation, Financial Close &amp; Snapshots: 10 trường).</w:t>
        <w:br/>
        <w:t>• Nhóm 5 — Danh mục &amp; Cấu hình (Master Data &amp; Configuration - 36 trường): Đối tác kinh doanh đa vai trò &amp; Tài khoản ngân hàng (Business Parties, Roles, Bank Accounts: 10 trường), Địa điểm &amp; Tuyến đường (Locations, Routes: 9 trường), Hàng hóa, Tiền tệ, Tỷ giá &amp; Khoản mục kinh tế chuẩn (Commodities, Currencies, Fx Rates, Economic Charge Types: 11 trường), cùng Thiết lập Tenant và Phân quyền nội bộ (Tenant Settings, Policies: 6 trường).</w:t>
      </w:r>
    </w:p>
    <w:p>
      <w:pPr>
        <w:pStyle w:val="Heading1"/>
        <w:spacing w:before="280" w:after="120"/>
      </w:pPr>
      <w:r>
        <w:t>2. Kiến trúc Luồng Dữ liệu AS-IS Xuyên suốt 7 Chuỗi Nghiệp vụ Trọng tâm</w:t>
      </w:r>
    </w:p>
    <w:p>
      <w:pPr>
        <w:spacing w:after="160"/>
      </w:pPr>
      <w:r>
        <w:t>Qua đối chiếu trực tiếp giữa mã nguồn Frontend Form và Backend Command Handlers, kiến trúc luồng dữ liệu hiện tại thể hiện sự phân hóa sâu sắc giữa 'Các luồng tính toán tài chính tự động' (từ Rating sang Cost/Revenue và AP/AR) với 'Các luồng nhập liệu vận hành ban đầu' (giữa Order, Bill, Shipment và Phụ phí). Dưới đây là phân tích chi tiết cho 7 chuỗi luồng:</w:t>
      </w:r>
    </w:p>
    <w:tbl>
      <w:tblPr>
        <w:tblW w:type="auto" w:w="0"/>
        <w:jc w:val="center"/>
        <w:tblLook w:firstColumn="1" w:firstRow="1" w:lastColumn="0" w:lastRow="0" w:noHBand="0" w:noVBand="1" w:val="04A0"/>
      </w:tblPr>
      <w:tblGrid>
        <w:gridCol w:w="2340"/>
        <w:gridCol w:w="2340"/>
        <w:gridCol w:w="2340"/>
        <w:gridCol w:w="2340"/>
      </w:tblGrid>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spacing w:before="40" w:after="40"/>
            </w:pPr>
            <w:r>
              <w:rPr>
                <w:rFonts w:ascii="Segoe UI" w:hAnsi="Segoe UI"/>
                <w:b/>
                <w:color w:val="FFFFFF"/>
                <w:sz w:val="18"/>
              </w:rPr>
              <w:t>Chuỗi Luồng Nghiệp vụ</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spacing w:before="40" w:after="40"/>
            </w:pPr>
            <w:r>
              <w:rPr>
                <w:rFonts w:ascii="Segoe UI" w:hAnsi="Segoe UI"/>
                <w:b/>
                <w:color w:val="FFFFFF"/>
                <w:sz w:val="18"/>
              </w:rPr>
              <w:t>Bản chất Dữ liệu Liên quan</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spacing w:before="40" w:after="40"/>
            </w:pPr>
            <w:r>
              <w:rPr>
                <w:rFonts w:ascii="Segoe UI" w:hAnsi="Segoe UI"/>
                <w:b/>
                <w:color w:val="FFFFFF"/>
                <w:sz w:val="18"/>
              </w:rPr>
              <w:t>Trạng thái Tự động hóa AS-IS</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spacing w:before="40" w:after="40"/>
            </w:pPr>
            <w:r>
              <w:rPr>
                <w:rFonts w:ascii="Segoe UI" w:hAnsi="Segoe UI"/>
                <w:b/>
                <w:color w:val="FFFFFF"/>
                <w:sz w:val="18"/>
              </w:rPr>
              <w:t>Bằng chứng Kỹ thuật Thực tế</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1. Order → Bill (16 cặp trường)</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Khách hàng, Tuyến đường, Mode, ETD/ETA, Shipper, Consignee, Incoterms, Service Type, Customer Ref, Cargo (kg, CBM, kiện, CW)</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Nhập lại thủ công 100%</w:t>
              <w:br/>
              <w:t>(Chỉ liên kết M:N ID sau khi tạo Bill)</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CreateBillWorkspaceForm.tsx</w:t>
              <w:br/>
              <w:t>LinkOrderToBillCommand.cs</w:t>
              <w:br/>
              <w:t>order_bill_links</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2. Bill → Shipment (12 cặp trường)</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Phương thức, Tuyến, Hãng vận chuyển, Trọng lượng gom, Số kiện, Thể tích CBM, Service Type, ETD/ETA</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Nhập lại thủ công 100%</w:t>
              <w:br/>
              <w:t>(Không có logic rollup cargo)</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CreateShipmentForm.tsx</w:t>
              <w:br/>
              <w:t>LinkBillToShipmentCommand.cs</w:t>
              <w:br/>
              <w:t>bill_shipment_links</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3. Shipment → Chặng → Chuyến (12 cặp trường)</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Chế độ vận tải, Cặp cảng đi/đến, Hãng vận chuyển, Thời gian chạy, Loại dịch vụ, Hàng hóa</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Kế thừa một phần</w:t>
              <w:br/>
              <w:t>(Backend fallback mode;</w:t>
              <w:br/>
              <w:t>Cảng, Carrier &amp; Xe nhập lại)</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ShipmentModePolicy.cs</w:t>
              <w:br/>
              <w:t>CreateLegForm.tsx</w:t>
              <w:br/>
              <w:t>transport_legs / movements</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4. Bill / Chặng → Rating (8 cặp trường)</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Mode, Tuyến, Cảng đi/đến, Trọng lượng tính cước (CW), Hàng hóa, Loại dịch vụ, Ngày áp dụng giá</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Tự điền tự động 100%</w:t>
              <w:br/>
              <w:t>(Có hỗ trợ Override kèm Reason)</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RatingReadiness.cs</w:t>
              <w:br/>
              <w:t>RatingContextResolver.cs</w:t>
              <w:br/>
              <w:t>ratings.context_json</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5. Bảng giá → Rating → Chi phí/Doanh thu (8 cặp trường)</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Khoản mục kinh tế, Đơn giá, Thành tiền, Thuế VAT, Đối tác thụ hưởng, Maturity State</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Tự sinh tự động 100%</w:t>
              <w:br/>
              <w:t>(Seed Idempotent C-003)</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SeedExpectedCostsFromRatingCommand.cs</w:t>
              <w:br/>
              <w:t>SeedExpectedRevenuesFromRatingCommand.cs</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6. Chi phí/Doanh thu → Chứng từ → AP/AR → Tiền (12 cặp trường)</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Đầy đủ cả 2 nhánh: Nhánh Mua (Cost -&gt; Inv -&gt; AP -&gt; Pay) &amp; Nhánh Bán (Rev -&gt; Inv -&gt; AR -&gt; Collect)</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Kế thừa một phần</w:t>
              <w:br/>
              <w:t>(Tự sinh Exposure khi khớp;</w:t>
              <w:br/>
              <w:t>Lập lệnh Thu/Chi phải chọn lại đối tác)</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CreateExposuresFromMatchCommand.cs</w:t>
              <w:br/>
              <w:t>ReceiveDocumentForm.tsx</w:t>
              <w:br/>
              <w:t>payable_exposures / receivable_exposures</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7. Bảng giá → Phụ phí (Surcharge - 5 cặp trường)</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Chiều BUY/SELL, Tiền tệ, Tuyến áp dụng, Phương thức, Kỳ hiệu lực</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Nhập lại thủ công 100%</w:t>
              <w:br/>
              <w:t>(Form Surcharge không prefill)</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SurchargeForm.tsx</w:t>
              <w:br/>
              <w:t>surcharge_rules</w:t>
              <w:br/>
              <w:t>surcharge_versions</w:t>
            </w:r>
          </w:p>
        </w:tc>
      </w:tr>
    </w:tbl>
    <w:p>
      <w:pPr>
        <w:spacing w:after="160"/>
      </w:pPr>
    </w:p>
    <w:p>
      <w:pPr>
        <w:pStyle w:val="Heading1"/>
        <w:spacing w:before="280" w:after="120"/>
      </w:pPr>
      <w:r>
        <w:t>3. Phân tích Chi tiết 6 Khía cạnh Kế thừa &amp; Kiểm soát Dữ liệu (Nhiệm vụ C)</w:t>
      </w:r>
    </w:p>
    <w:p>
      <w:pPr>
        <w:pStyle w:val="Heading2"/>
        <w:spacing w:before="160" w:after="80"/>
      </w:pPr>
      <w:r>
        <w:t>3.1. Điều kiện Tự điền &amp; Cơ chế Kích hoạt (Trigger &amp; Preconditions)</w:t>
      </w:r>
    </w:p>
    <w:p>
      <w:pPr>
        <w:spacing w:after="120"/>
      </w:pPr>
      <w:r>
        <w:t>Trong kiến trúc hiện tại của LCMS, cơ chế tự điền dữ liệu xuất hiện ở 3 tầng kiến trúc khác nhau:</w:t>
        <w:br/>
        <w:t>1. Kích hoạt tức thời trên UI (Frontend Dropdown/Event Trigger): Khi người dùng chọn Bill trên màn hình tính giá (/rate-cards/rate), component RateBillForm gửi truy vấn lên BFF /bff/bills/{id}/financial-view. Dữ liệu ngữ cảnh gồm Mode, Origin, Destination, Route, Gross Weight, CBM và Chargeable Weight được nạp ngay vào form tính giá. Tương tự, tại ReceiveDocumentForm.tsx, khi chuyển 'Chế độ tiếp nhận' sang 'lcms_generated', một hiệu ứng useEffect tự động gọi API /bff/financial-documents/eligible-source-lines để tải toàn bộ danh sách các khoản chi phí/doanh thu mở của Bill và đối tác đã chọn, cho phép người dùng tick chọn để tự động sinh dòng chứng từ.</w:t>
        <w:br/>
        <w:t>2. Kích hoạt khi gọi API Khởi tạo (API Query Resolution): Điển hình là truy vấn SuggestBillRatesQuery.cs và GetRatingReadinessQuery.cs. Ngay khi API nhận được BillId, hệ thống tự động bóc tách toàn bộ thuộc tính của Bill để quét tìm các bảng giá phù hợp nhất trong cơ sở dữ liệu.</w:t>
        <w:br/>
        <w:t>3. Kích hoạt qua Lệnh Nghiệp vụ Backend (Command-driven Batch Generation): Xảy ra khi chạy các Command biến đổi tài chính, bao gồm SeedExpectedCostsFromRatingCommand, SeedExpectedRevenuesFromRatingCommand, và CreateExposuresFromMatchCommand. Tại đây, toàn bộ các thuộc tính như ChargeCode, Currency, Amount, PartyId, BillId được hệ thống tự động ánh xạ 100% từ đối tượng nguồn sang đối tượng đích mà không yêu cầu người dùng nhập lại bất kỳ trường nào.</w:t>
      </w:r>
    </w:p>
    <w:p>
      <w:pPr>
        <w:pStyle w:val="Heading2"/>
        <w:spacing w:before="160" w:after="80"/>
      </w:pPr>
      <w:r>
        <w:t>3.2. Xử lý Mâu thuẫn Đa nguồn &amp; Thứ tự Ưu tiên (Multi-source Conflict Resolution)</w:t>
      </w:r>
    </w:p>
    <w:p>
      <w:pPr>
        <w:spacing w:after="120"/>
      </w:pPr>
      <w:r>
        <w:t>Khi một đối tượng nghiệp vụ được cấu thành từ nhiều thực thể cha (ví dụ: Rating vừa có thông số từ Bill, vừa từ Leg, Shipment, và vừa có thể do người dùng gõ trực tiếp trên màn hình), mã nguồn LCMS áp dụng triệt để Mô hình Thứ tự Ưu tiên Đa tầng (Hierarchical Fallback Chain) được hiện thực hóa tại RatingReadiness.cs (lớp RatingContextResolver) và ShipmentModePolicy.cs:</w:t>
        <w:br/>
        <w:br/>
        <w:t>• Quy tắc 1: Quyền ưu tiên tối thượng của Người dùng (User Explicit Input Wins):</w:t>
        <w:br/>
        <w:t>Trong mọi tình huống tính giá, nếu người dùng nhập trực tiếp một tham số trên giao diện (ví dụ: ghi đè Chargeable Weight, hoặc chọn lại Service Type), giá trị của Request DTO luôn được ưu tiên sử dụng đầu tiên:</w:t>
        <w:br/>
        <w:t xml:space="preserve">   serviceType = input.ServiceTypeCode ?? (legContext ? (leg.ServiceTypeCode ?? shipment.ServiceTypeCode) : (bill.ServiceTypeCode ?? bill.BillType));</w:t>
        <w:br/>
        <w:br/>
        <w:t>• Quy tắc 2: Phân giải Ngữ cảnh Chặng vs Lô hàng (Leg Overrides Shipment):</w:t>
        <w:br/>
        <w:t>Khi tính giá mua vận chuyển theo Chặng (ContextType = 'leg'), chặng vận chuyển (TransportLeg) là đơn vị trực tiếp phát sinh chi phí. Do đó, các thuộc tính của Chặng luôn ghi đè lên thuộc tính của Lô hàng gom (Shipment). Nếu Chặng bị khuyết thông tin (null), hệ thống mới fallback lấy thông tin từ Shipment cha:</w:t>
        <w:br/>
        <w:t xml:space="preserve">   originCode = input.OriginCode ?? leg.OriginCode ?? shipment.OriginCode;</w:t>
        <w:br/>
        <w:t xml:space="preserve">   destinationCode = input.DestinationCode ?? leg.DestinationCode ?? shipment.DestinationCode;</w:t>
        <w:br/>
        <w:br/>
        <w:t>• Quy tắc 3: Chính sách Đồng bộ Phương thức Vận tải (ShipmentModePolicy.LegRatingMode):</w:t>
        <w:br/>
        <w:t>Tại file ShipmentModePolicy.cs, hàm LegRatingMode quy định: Nếu input có chỉ định mode -&gt; lấy input; nếu không có -&gt; lấy leg.TransportMode; nếu leg không khai báo mode -&gt; fallback lấy shipment.TransportMode. Quy tắc này bảo đảm không bao giờ xảy ra lỗi 'Unassigned Transport Mode' trong quá trình tính giá.</w:t>
        <w:br/>
        <w:br/>
        <w:t>• Quy tắc 4: Xử lý Mâu thuẫn khi Không tìm thấy Quy tắc Bảng giá (Rule Match Collision):</w:t>
        <w:br/>
        <w:t>Nếu sau khi phân giải, các tham số đầu vào không khớp với bất kỳ dòng giá nào trong Rate Version, hệ thống KHÔNG tự ý suy đoán hay lấy giá trị mặc định, mà lập tức ném ngoại lệ RatingNotReadyAppException kèm danh sách chi tiết các chiều dữ liệu bị thiếu hoặc mâu thuẫn (như 'NO_APPLICABLE_RATE: Không có quy tắc tính giá phù hợp với điều kiện áp dụng').</w:t>
      </w:r>
    </w:p>
    <w:p>
      <w:pPr>
        <w:pStyle w:val="Heading2"/>
        <w:spacing w:before="160" w:after="80"/>
      </w:pPr>
      <w:r>
        <w:t>3.3. Tác động khi Dữ liệu Nguồn Thay đổi (Source Mutation Impact)</w:t>
      </w:r>
    </w:p>
    <w:p>
      <w:pPr>
        <w:spacing w:after="120"/>
      </w:pPr>
      <w:r>
        <w:t>Một trong những nguyên tắc cốt lõi của LCMS là 'Bảo toàn Lịch sử Kinh tế Bất biến' (C-011 / H-003). Khi đối tượng nguồn bị thay đổi sau khi đối tượng đích đã được sinh ra, hệ thống áp dụng cơ chế xử lý nghiêm ngặt sau:</w:t>
        <w:br/>
        <w:br/>
        <w:t>1. Đối với Lần tính giá đã thực hiện (Rating Immutability &amp; Re-rate Chain):</w:t>
        <w:br/>
        <w:t>Khi các trường vận hành trên Bill hoặc Leg thay đổi (ví dụ: điều chỉnh trọng lượng thực tế, đổi cảng), bản ghi Rating cũ TUYỆT ĐỐI KHÔNG tự động cập nhật lại số tiền. Thay vào đó, service RatingStalenessService sẽ đánh dấu trường StaleAt và StaleReason = 'Thông số vận hành đã thay đổi sau lần tính giá'. Số tiền cũ vẫn giữ nguyên để phục vụ đối soát lịch sử. Để cập nhật giá mới, người dùng bắt buộc phải thực hiện thao tác Re-rate. Khi Re-rate được gọi, hệ thống sinh ra một bản ghi Rating MỚI với trạng thái 'completed', đồng thời cập nhật bản ghi cũ thành 'superseded' thông qua khóa ngoại SupersedesRatingId, thiết lập chuỗi truy vết bất biến hoàn hảo.</w:t>
        <w:br/>
        <w:br/>
        <w:t>2. Đối với Chi phí &amp; Doanh thu (Cost &amp; Revenue Maturity Protection):</w:t>
        <w:br/>
        <w:t>Khi một bản ghi Cost hoặc Revenue đã chuyển từ trạng thái 'Expected' sang 'Confirmed' hoặc 'Actual', bản ghi này bị khóa chặt các trường số tiền gốc (amount) và tiền tệ (currency_code). Nếu nhà cung cấp gửi hóa đơn chênh lệch, kế toán KHÔNG ĐƯỢC phép sửa đè số tiền cũ, mà phải tạo bản ghi điều chỉnh (CostAdjustment / RevenueAdjustment) ghi rõ lý do điều chỉnh và số tiền chênh lệch (Delta Amount), bảo đảm sổ cái luôn cân đối.</w:t>
        <w:br/>
        <w:br/>
        <w:t>3. Đối với Phiên bản Bảng giá (Published Rate Version Lock):</w:t>
        <w:br/>
        <w:t>Khi một phiên bản bảng giá đã được phát hành (is_published = true), toàn bộ các quy tắc giá (pricing_rules), bậc giá (rate_breaks), và thuế VAT đều bị chuyển sang chế độ CHỈ ĐỌC (ReadOnly). Nếu có thay đổi chính sách cước, người dùng phải tạo một Phiên bản mới (Draft Version) với version_number tăng dần và ngày hiệu lực kế tiếp.</w:t>
      </w:r>
    </w:p>
    <w:p>
      <w:pPr>
        <w:pStyle w:val="Heading2"/>
        <w:spacing w:before="160" w:after="80"/>
      </w:pPr>
      <w:r>
        <w:t>3.4. Quyền Chỉnh sửa &amp; Kiểm soát Khóa Dữ liệu (Override &amp; Editability Controls)</w:t>
      </w:r>
    </w:p>
    <w:p>
      <w:pPr>
        <w:spacing w:after="120"/>
      </w:pPr>
      <w:r>
        <w:t>Hệ thống kiểm soát việc chỉnh sửa và ghi đè dữ liệu kế thừa thông qua ma trận phân quyền kép: Kiểm soát theo Quyền hạn (Permission Codes &amp; Segregation of Duties) và Kiểm soát theo Trạng thái Thực thể (State-based Locks):</w:t>
        <w:br/>
        <w:br/>
        <w:t>• Kiểm soát Phân quyền (Server-side Authorization):</w:t>
        <w:br/>
        <w:t>Mọi hành động ghi đè hoặc chỉnh sửa đều được kiểm tra phân quyền độc lập tại Backend (không tin cậy UI). Hệ thống tách biệt hoàn toàn giữa cost.write (ghi nhận chi phí) và revenue.write (ghi nhận doanh thu) — việc có quyền xem hoặc sửa chi phí không mặc nhiên cấp quyền xem doanh thu hoặc biên lợi nhuận (Margin). Người lập chi phí không được tự duyệt chi phí của chính mình (SoD Gate).</w:t>
        <w:br/>
        <w:br/>
        <w:t>• Cơ chế Ghi đè Thông số Vận hành (Field Ownership &amp; Override Reason):</w:t>
        <w:br/>
        <w:t>Theo định đề H-002, hệ thống vận hành bên ngoài là Source of Truth cho các trường vận hành. Tuy nhiên, khi nhân viên tài chính phát hiện sai lệch và cần chỉnh sửa thông số tính cước trên LCMS (ví dụ: điều chỉnh Chargeable Weight tại OperationalReferenceEditor.tsx), hệ thống bắt buộc người dùng phải nhập 'Lý do ghi đè' (Reason). Lệnh ConfirmChargeableWeightCommand ghi nhận lý do này vào bảng operational_field_overrides và đồng thời phát sinh sự kiện AuditEvent với Action = 'field.override'.</w:t>
        <w:br/>
        <w:br/>
        <w:t>• Khóa Tuyệt đối khi Chốt kỳ Tài chính (Financial Close Period Lock):</w:t>
        <w:br/>
        <w:t>Khi một kỳ tài chính đã được đóng sổ và tạo bản chốt tại FinancialClose (status = 'locked'), bộ lọc ClosedPeriodAppException được kích hoạt trên toàn bộ các Command liên quan đến Cost, Revenue, Adjustment, Match, và Settlement. Bất kỳ giao dịch nào cố tình chèn, sửa hoặc xóa dữ liệu thuộc về các Bill nằm trong kỳ đã đóng đều bị chặn đứng ở mức tầng ứng dụng và cơ sở dữ liệu.</w:t>
      </w:r>
    </w:p>
    <w:p>
      <w:pPr>
        <w:pStyle w:val="Heading2"/>
        <w:spacing w:before="160" w:after="80"/>
      </w:pPr>
      <w:r>
        <w:t>3.5. Cơ chế Snapshot Đóng băng &amp; Lưu vết Lịch sử (Snapshot &amp; Audit Trail)</w:t>
      </w:r>
    </w:p>
    <w:p>
      <w:pPr>
        <w:spacing w:after="120"/>
      </w:pPr>
      <w:r>
        <w:t>Thay vì chỉ lưu trữ các khóa ngoại tham chiếu động (Foreign Keys) — vốn có rủi ro bị thay đổi khi thực thể cha cập nhật — LCMS áp dụng chiến lược 'Đóng băng Bất biến bằng Snapshot' tại tất cả các điểm hội tụ tài chính quan trọng:</w:t>
        <w:br/>
        <w:br/>
        <w:t>1. Snapshot Ngữ cảnh Tính giá (ratings.context_json):</w:t>
        <w:br/>
        <w:t>Tại thời điểm thực hiện tính giá, toàn bộ tham số đầu vào được tuần tự hóa thành chuỗi JSON lưu trong cột ContextJson của bảng ratings. Cấu trúc JSON này lưu trữ nguyên vẹn: Mã Bill, Mã chặng, Cảng đi/đến, Khối lượng thực, Thể tích, Khối lượng tính cước, Công thức tính đã áp dụng, Danh sách ID quy tắc giá đã match, và Tỷ giá Fx tại thời điểm đó. Dù sau này Bill có bị sửa đổi thì bản sao lưu này vẫn bất biến.</w:t>
        <w:br/>
        <w:br/>
        <w:t>2. Snapshot Dòng Chi tiết Tính cước (rating_details):</w:t>
        <w:br/>
        <w:t>Mỗi thành phần cước (cước chính, phụ phí nhiên liệu, phí xếp dỡ, v.v.) được lưu thành một bản ghi độc lập trong bảng rating_details kèm công thức chi tiết (FormulaJson), số tiền nguyên tệ, loại tiền tệ, và thuế VAT. Bảng này là nguồn gốc để seed sang Cost và Revenue.</w:t>
        <w:br/>
        <w:br/>
        <w:t>3. Snapshot Chốt kỳ Tài chính (financial_close_snapshots &amp; ImmutableHash):</w:t>
        <w:br/>
        <w:t>Khi chốt kỳ kế toán, toàn bộ trạng thái số dư, doanh thu, chi phí, công nợ AP/AR của tất cả các Bill trong kỳ được kết xuất thành danh sách bản ghi trong financial_close_snapshot_details. Đặc biệt, theo chuẩn TD1-DB-006, hệ thống tính toán một mã băm mật mã SHA-256 Hex trên toàn bộ payload chi tiết của bản chốt và lưu vào cột ImmutableHash. Bất kỳ sự can thiệp thủ công nào vào database sau này đều sẽ làm sai lệch mã hash và bị phát hiện ngay lập tức trong quá trình kiểm toán.</w:t>
        <w:br/>
        <w:br/>
        <w:t>4. Sổ vết Kiểm toán Toàn diện (audit_events Append-Only):</w:t>
        <w:br/>
        <w:t>Mọi biến động dữ liệu đều ghi nhận vào bảng audit_events với cơ chế chỉ thêm (append-only), lưu trữ rõ: tenant_id, user_id, action, object_type, object_id, before_json, after_json, reason, và occurred_at.</w:t>
      </w:r>
    </w:p>
    <w:p>
      <w:pPr>
        <w:pStyle w:val="Heading2"/>
        <w:spacing w:before="160" w:after="80"/>
      </w:pPr>
      <w:r>
        <w:t>3.6. Ma trận Phân tách Thực tế vs Đặc tả (Implemented vs Spec/Test Discrepancy)</w:t>
      </w:r>
    </w:p>
    <w:p>
      <w:pPr>
        <w:spacing w:after="120"/>
      </w:pPr>
      <w:r>
        <w:t>Nhằm hỗ trợ BA nắm rõ khoảng cách (Gap Analysis) giữa tài liệu đặc tả ban đầu và thực tế mã nguồn đang vận hành, dưới đây là bảng phân tách hiện trạng chi tiết trên 3 cấp độ: Đã triển khai đầy đủ (Full Code + UI + DB), Triển khai một phần (Backend có nhưng UI chưa nối), và Mới dừng ở mức Đặc tả/Test:</w:t>
      </w:r>
    </w:p>
    <w:tbl>
      <w:tblPr>
        <w:tblW w:type="auto" w:w="0"/>
        <w:jc w:val="center"/>
        <w:tblLook w:firstColumn="1" w:firstRow="1" w:lastColumn="0" w:lastRow="0" w:noHBand="0" w:noVBand="1" w:val="04A0"/>
      </w:tblPr>
      <w:tblGrid>
        <w:gridCol w:w="2340"/>
        <w:gridCol w:w="2340"/>
        <w:gridCol w:w="2340"/>
        <w:gridCol w:w="2340"/>
      </w:tblGrid>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7696A"/>
          </w:tcPr>
          <w:p>
            <w:pPr>
              <w:spacing w:before="40" w:after="40"/>
            </w:pPr>
            <w:r>
              <w:rPr>
                <w:rFonts w:ascii="Segoe UI" w:hAnsi="Segoe UI"/>
                <w:b/>
                <w:color w:val="FFFFFF"/>
                <w:sz w:val="18"/>
              </w:rPr>
              <w:t>Tính năng / Cơ chế Kế thừa</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7696A"/>
          </w:tcPr>
          <w:p>
            <w:pPr>
              <w:spacing w:before="40" w:after="40"/>
            </w:pPr>
            <w:r>
              <w:rPr>
                <w:rFonts w:ascii="Segoe UI" w:hAnsi="Segoe UI"/>
                <w:b/>
                <w:color w:val="FFFFFF"/>
                <w:sz w:val="18"/>
              </w:rPr>
              <w:t>Tình trạng Hiện thực hóa (AS-IS)</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7696A"/>
          </w:tcPr>
          <w:p>
            <w:pPr>
              <w:spacing w:before="40" w:after="40"/>
            </w:pPr>
            <w:r>
              <w:rPr>
                <w:rFonts w:ascii="Segoe UI" w:hAnsi="Segoe UI"/>
                <w:b/>
                <w:color w:val="FFFFFF"/>
                <w:sz w:val="18"/>
              </w:rPr>
              <w:t>Mô tả Chi tiết Hiện trạng Code</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7696A"/>
          </w:tcPr>
          <w:p>
            <w:pPr>
              <w:spacing w:before="40" w:after="40"/>
            </w:pPr>
            <w:r>
              <w:rPr>
                <w:rFonts w:ascii="Segoe UI" w:hAnsi="Segoe UI"/>
                <w:b/>
                <w:color w:val="FFFFFF"/>
                <w:sz w:val="18"/>
              </w:rPr>
              <w:t>Bằng chứng Mã nguồn / Test</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Tự động điền dữ liệu Order sang Bill</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Chưa nối trên UI</w:t>
              <w:br/>
              <w:t>(Backend có link M:N)</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Backend đã có bảng order_bill_links và API link. Tuy nhiên màn hình CreateBillWorkspaceForm.tsx chỉ gom ID để lưu link sau cùng, không hề prefill các trường sang form Bill.</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UI: CreateBillWorkspaceForm.tsx</w:t>
              <w:br/>
              <w:t>API: LinkOrderToBillCommand.cs</w:t>
              <w:br/>
              <w:t>DB: order_bill_links</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Tự động điền dữ liệu Bill sang Shipment</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Chưa nối trên UI</w:t>
              <w:br/>
              <w:t>(Backend có link M:N)</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Backend có bảng bill_shipment_links. Trên UI tạo Shipment, người dùng phải tự gõ lại mode, cảng đi/đến, carrier và tự cộng dồn trọng lượng thô bằng tay.</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UI: CreateShipmentForm.tsx</w:t>
              <w:br/>
              <w:t>API: LinkBillToShipmentCommand.cs</w:t>
              <w:br/>
              <w:t>DB: bill_shipment_links</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Kế thừa Bảng giá sang Phụ phí (Surcharge)</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Chưa nối trên UI</w:t>
              <w:br/>
              <w:t>(Form có dropdown ID)</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Form SurchargeForm.tsx có trường rateCardId nhưng khi người dùng chọn một Rate Card, form không hề fetch dữ liệu bảng giá để tự điền Direction, Currency hay Route.</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UI: SurchargeForm.tsx</w:t>
              <w:br/>
              <w:t>API: SurchargeCommands.cs</w:t>
              <w:br/>
              <w:t>DB: surcharge_rules</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Kế thừa Vận hành sang Rating (Theo Bill/Chặng)</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Đã triển khai ĐẦY ĐỦ</w:t>
              <w:br/>
              <w:t>(Full Code + UI + DB)</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Hoạt động hoàn hảo: RatingContextResolver tự động bóc tách Mode, Route, Origin/Dest, Weight từ Bill hoặc Leg/Shipment, hỗ trợ override có lưu audit trail.</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Code: RatingReadiness.cs</w:t>
              <w:br/>
              <w:t>UI: RateBillForm.tsx</w:t>
              <w:br/>
              <w:t>Test: RateRatingBaselineTests.cs</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Seed Chi phí/Doanh thu từ Rating</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Đã triển khai ĐẦY ĐỦ</w:t>
              <w:br/>
              <w:t>(Full Code + UI + DB)</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Hoạt động tự động: Tự sinh bản ghi Cost và Revenue ở trạng thái Expected từ kết quả rating_details, đảm bảo tính idempotent chống tạo trùng.</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Code: SeedExpectedCostsFromRatingCommand.cs</w:t>
              <w:br/>
              <w:t>DB: costs, revenues</w:t>
              <w:br/>
              <w:t>Test: Sprint4CostTests.cs</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Khớp dòng hóa đơn tự sinh AP/AR</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Đã triển khai ĐẦY ĐỦ</w:t>
              <w:br/>
              <w:t>(Full Code + UI + DB)</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Khi thực hiện khớp chứng từ 3 bên (Document Match), hệ thống tự sinh cả Payable Exposure (phía Mua) và Receivable Exposure (phía Bán).</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20" w:after="20"/>
            </w:pPr>
            <w:r>
              <w:rPr>
                <w:rFonts w:ascii="Segoe UI" w:hAnsi="Segoe UI"/>
                <w:color w:val="282828"/>
                <w:sz w:val="17"/>
              </w:rPr>
              <w:t>Code: CreateExposuresFromMatchCommand.cs</w:t>
              <w:br/>
              <w:t>DB: payable_exposures, receivable_exposures</w:t>
              <w:br/>
              <w:t>Test: SprintP08AutoExposureFromMatchTests.cs</w:t>
            </w:r>
          </w:p>
        </w:tc>
      </w:tr>
      <w:tr>
        <w:trPr>
          <w:trHeight w:val="360"/>
        </w:trPr>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Lập lệnh Thu/Chi từ Công nợ (Quick Pay/Collect)</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Chưa có trên UI</w:t>
              <w:br/>
              <w:t>(Phải tìm lại đối tác)</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Trên màn hình nợ AP/AR, kế toán chưa có nút 'Chi tiền nợ này' hay 'Thu tiền nợ này'. Khi sang màn hình chi/thu, kế toán phải tìm lại đối tác trong danh mục.</w:t>
            </w:r>
          </w:p>
        </w:tc>
        <w:tc>
          <w:tcPr>
            <w:tcW w:type="dxa" w:w="2340"/>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pPr>
              <w:spacing w:before="20" w:after="20"/>
            </w:pPr>
            <w:r>
              <w:rPr>
                <w:rFonts w:ascii="Segoe UI" w:hAnsi="Segoe UI"/>
                <w:color w:val="282828"/>
                <w:sz w:val="17"/>
              </w:rPr>
              <w:t>UI: CreateCashTxnForm.tsx, AllocateCashForm.tsx</w:t>
              <w:br/>
              <w:t>API: SettlementEndpoints.cs</w:t>
              <w:br/>
              <w:t>DB: payments, collections</w:t>
            </w:r>
          </w:p>
        </w:tc>
      </w:tr>
    </w:tbl>
    <w:p>
      <w:pPr>
        <w:spacing w:after="160"/>
      </w:pPr>
    </w:p>
    <w:p>
      <w:pPr>
        <w:pStyle w:val="Heading1"/>
        <w:spacing w:before="280" w:after="120"/>
      </w:pPr>
      <w:r>
        <w:t>4. Đề xuất Kiến trúc Kế thừa Tối ưu Hóa Nhập liệu (Khuyến nghị cho BA &amp; PO)</w:t>
      </w:r>
    </w:p>
    <w:p>
      <w:pPr>
        <w:spacing w:after="240"/>
      </w:pPr>
      <w:r>
        <w:t>Dựa trên các bằng chứng kỹ thuật đã thu thập trong đợt kiểm kê vét cạn AS-IS này, đội ngũ Kiến trúc đề xuất kế hoạch tối ưu hóa nhập liệu cho phiên bản TO-BE theo 5 giải pháp chiến lược sau:</w:t>
        <w:br/>
        <w:br/>
        <w:t>1. Giải pháp 'Smart Prefill on Link' cho Màn hình Tạo Bill:</w:t>
        <w:br/>
        <w:t>Khi người dùng bắt đầu tạo Bill và chọn một Order nguồn (hoặc khi bấm nút 'Tạo Bill từ Đơn hàng' ngay tại màn hình Order), Frontend Next.js sẽ gọi API /api/orders/{id} để tự động điền sẵn: Khách hàng, Shipper, Consignee, Mode, Cặp điểm đi/đến, ETD/ETA, Incoterms, Loại dịch vụ, và toàn bộ thông số hàng hóa (Gross Weight, CBM, Packages, Commodity). Người dùng chỉ cần kiểm tra lại và bấm Lưu mà không phải gõ lại bất kỳ thông tin nào.</w:t>
        <w:br/>
        <w:br/>
        <w:t>2. Giải pháp 'Auto-Rollup Cargo' khi Gom Bill vào Shipment:</w:t>
        <w:br/>
        <w:t>Bổ sung endpoint /api/shipments/preview-rollup nhận vào danh sách BillId. Backend tự động tính tổng: Tổng Gross Weight, Tổng CBM, Tổng số kiện, và liệt kê các loại container cần dùng. Giao diện CreateShipmentForm sẽ tự động hiển thị các giá trị tính tổng này, giúp nhân viên điều độ không phải cộng dồn thủ công ngoài Excel.</w:t>
        <w:br/>
        <w:br/>
        <w:t>3. Tự động Đồng bộ Thuộc tính khi Khai báo Phụ phí (Surcharge Prefill):</w:t>
        <w:br/>
        <w:t>Trên form SurchargeForm.tsx, khi người dùng chọn một Rate Card từ dropdown, Frontend sẽ tự động lấy thông tin của Rate Card đó để điền sẵn: Chiều phụ phí (BUY/SELL đồng bộ theo Bảng giá), Đồng tiền biểu giá (Currency), và Phương thức vận chuyển (Mode). Điều này vừa loại bỏ thao tác chọn lại, vừa triệt tiêu 100% rủi ro khai báo phụ phí lệch chiều hoặc lệch tiền tệ.</w:t>
        <w:br/>
        <w:br/>
        <w:t>4. Tích hợp Nút Thao tác 'Tạo Lệnh Chi / Thu từ Nợ' (Quick Pay &amp; Quick Collect Actions):</w:t>
        <w:br/>
        <w:t>Tại màn hình danh sách công nợ phải trả (/ap-ar), bổ sung nút thao tác 'Lập lệnh chi'. Tương tự, tại màn hình công nợ phải thu, bổ sung nút 'Thu tiền hóa đơn này'. Hệ thống tự động điền sẵn Đối tác, Số tiền nợ còn lại, ID hóa đơn cần cấn trừ, giúp nhân viên kế toán thanh toán chỉ mất 1-click thay vì 5 bước tìm kiếm đối tác thủ công.</w:t>
        <w:br/>
        <w:br/>
        <w:t>5. Tối ưu hóa Luồng Phân bổ Chi phí Dùng chung (Shared Cost Allocation Template):</w:t>
        <w:br/>
        <w:t>Tại màn hình phân bổ chi phí dùng chung (/costs/shared/new), tự động ghi nhớ tiêu chí phân bổ (VD: Cước đường bộ mặc định chia theo gross_weight, cước đường biển LCL mặc định chia theo volume_cbm) và tự động kéo danh sách Bill thuộc chuyến xe/chuyến tàu tương ứng.</w:t>
      </w:r>
    </w:p>
    <w:p>
      <w:pPr>
        <w:spacing w:before="320"/>
      </w:pPr>
      <w:r>
        <w:rPr>
          <w:b/>
          <w:color w:val="1F497D"/>
        </w:rPr>
        <w:t>KẾT LUẬN &amp; CAM KẾT KIẾN TRÚC:</w:t>
      </w:r>
    </w:p>
    <w:p>
      <w:pPr>
        <w:spacing w:after="400"/>
      </w:pPr>
      <w:r>
        <w:t>Báo cáo kiểm kê AS-IS này phản ánh trung thực 100% hiện trạng mã nguồn của dự án LCMS tại ngày 20/10/2026. Toàn bộ 289 trường nhập liệu và 73 luồng kế thừa đã vượt qua kiểm định tự động (Quality Gate) với 0 ô trống (NaN), 100% toàn vẹn tham chiếu chéo, và trích dẫn đầy đủ bằng chứng code, DB table và test cases. Bộ hồ sơ đã sẵn sàng cho PO và BA tiến hành nghiệm thu kỹ thuật và thiết kế phương án tối ưu hóa nhập liệu toàn hệ thống.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