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Thuy Nguyen</w:t>
      </w:r>
    </w:p>
    <w:p>
      <w:pPr>
        <w:spacing w:before="0" w:after="20"/>
        <w:jc w:val="center"/>
      </w:pPr>
      <w:r>
        <w:rPr>
          <w:rFonts w:ascii="Arial" w:cs="Arial" w:eastAsia="Arial" w:hAnsi="Arial"/>
          <w:sz w:val="20"/>
          <w:szCs w:val="20"/>
        </w:rPr>
        <w:t xml:space="preserve">Computer Science — University of Michigan-Flint  |  </w:t>
      </w:r>
      <w:hyperlink w:history="1" r:id="rIdaugfqxb-ut5rcilc9fex-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linkedin.com/in/thanhthuy280501</w:t>
        </w:r>
      </w:hyperlink>
      <w:r>
        <w:rPr>
          <w:rFonts w:ascii="Arial" w:cs="Arial" w:eastAsia="Arial" w:hAnsi="Arial"/>
          <w:sz w:val="20"/>
          <w:szCs w:val="20"/>
        </w:rPr>
        <w:t xml:space="preserve">  |  </w:t>
      </w:r>
      <w:hyperlink w:history="1" r:id="rIdr5fb-omnbj5bdcqzimftx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github.com/thanhthuy280501</w:t>
        </w:r>
      </w:hyperlink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thanhthuy28052001@gmail.com  |  (747) 287-8197</w:t>
      </w:r>
    </w:p>
    <w:p>
      <w:pPr>
        <w:shd w:fill="1a5276" w:val="clear"/>
        <w:spacing w:before="120" w:after="120"/>
        <w:ind w:left="0" w:right="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Project Sample: Online Retail Customer Lifetime Value &amp; Segmentation Analysis</w:t>
      </w:r>
    </w:p>
    <w:p>
      <w:pPr>
        <w:spacing w:before="80" w:after="1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Python • Pandas • NumPy • Matplotlib • Seaborn • Data Cleaning • Customer Segmentation • RFM Analysis</w:t>
      </w:r>
    </w:p>
    <w:p>
      <w:pPr>
        <w:pBdr>
          <w:bottom w:val="single" w:color="2E86C1" w:sz="8" w:space="4"/>
        </w:pBdr>
        <w:spacing w:before="240" w:after="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 Project Overview</w:t>
      </w:r>
    </w:p>
    <w:p>
      <w:pPr>
        <w:spacing w:before="0" w:after="120"/>
      </w:pPr>
      <w:r>
        <w:rPr>
          <w:rFonts w:ascii="Arial" w:cs="Arial" w:eastAsia="Arial" w:hAnsi="Arial"/>
          <w:sz w:val="20"/>
          <w:szCs w:val="20"/>
        </w:rPr>
        <w:t xml:space="preserve">This project analyzes over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1 million transactions</w:t>
      </w:r>
      <w:r>
        <w:rPr>
          <w:rFonts w:ascii="Arial" w:cs="Arial" w:eastAsia="Arial" w:hAnsi="Arial"/>
          <w:sz w:val="20"/>
          <w:szCs w:val="20"/>
        </w:rPr>
        <w:t xml:space="preserve"> from a UK-based online giftware retailer (Dec 2009 – Dec 2011) to understand customer behavior, identify revenue drivers, and generate data-backed business recommendations. The analysis demonstrates end-to-end data work — from raw data validation through to actionable strategy.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Dataset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7trjmcmpqu8jvwnocp4az">
              <w:r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</w:rPr>
                <w:t xml:space="preserve">Online Retail II — Kaggle</w:t>
              </w:r>
            </w:hyperlink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Size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1,067,371 rows · 2 years of transactional data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Grain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row = one line item per invoice (InvoiceNo + StockCode)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Tools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— Pandas, NumPy, Matplotlib, Seaborn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Full Notebook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w66ljikqaivkumkq6u8sk">
              <w:r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</w:rPr>
                <w:t xml:space="preserve">github.com/thanhthuy280501/retail-clv-segmentation</w:t>
              </w:r>
            </w:hyperlink>
          </w:p>
        </w:tc>
      </w:tr>
    </w:tbl>
    <w:p>
      <w:pPr>
        <w:spacing w:before="120" w:after="0"/>
      </w:pPr>
    </w:p>
    <w:p>
      <w:pPr>
        <w:pBdr>
          <w:bottom w:val="single" w:color="2E86C1" w:sz="8" w:space="4"/>
        </w:pBdr>
        <w:spacing w:before="240" w:after="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 Business Questions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>The analysis was structured around three core questions a Marketing Director, Inventory Manager, or Head of Customer Experience would actually ask: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Customer Segments: </w:t>
      </w:r>
      <w:r>
        <w:rPr>
          <w:rFonts w:ascii="Arial" w:cs="Arial" w:eastAsia="Arial" w:hAnsi="Arial"/>
          <w:sz w:val="20"/>
          <w:szCs w:val="20"/>
        </w:rPr>
        <w:t xml:space="preserve">Which customer groups generate the most revenue, and how do they behave differently?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Retention Tipping Point: </w:t>
      </w:r>
      <w:r>
        <w:rPr>
          <w:rFonts w:ascii="Arial" w:cs="Arial" w:eastAsia="Arial" w:hAnsi="Arial"/>
          <w:sz w:val="20"/>
          <w:szCs w:val="20"/>
        </w:rPr>
        <w:t xml:space="preserve">How many days after a first purchase does the likelihood of a second purchase drop significantly?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Product Affinity: </w:t>
      </w:r>
      <w:r>
        <w:rPr>
          <w:rFonts w:ascii="Arial" w:cs="Arial" w:eastAsia="Arial" w:hAnsi="Arial"/>
          <w:sz w:val="20"/>
          <w:szCs w:val="20"/>
        </w:rPr>
        <w:t xml:space="preserve">Which products drive cross-selling, and does this differ between new and loyal customers?</w:t>
      </w:r>
    </w:p>
    <w:p>
      <w:pPr>
        <w:spacing w:before="80" w:after="0"/>
      </w:pPr>
    </w:p>
    <w:p>
      <w:pPr>
        <w:pBdr>
          <w:bottom w:val="single" w:color="2E86C1" w:sz="8" w:space="4"/>
        </w:pBdr>
        <w:spacing w:before="240" w:after="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 Data Cleaning &amp; Validation</w:t>
      </w:r>
    </w:p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>Before any analysis, the raw dataset required a systematic audit. Five distinct anomaly types were identified, documented, and resolved: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2280"/>
        <w:gridCol w:w="268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Issue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Impact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3,457 numeric invoices
with negative qty + $0 price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Remove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corrections, not customer transactions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Excluded from sales metrics; kept for inventory auditing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‘A-invoice’ bad debt adjustments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Remove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Accounting write-offs, not product sales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artificially deflating revenue totals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cancellation record with positive quantity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Remove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anomaly inconsistent with cancellation logic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Avoids inflating frequency metrics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34,335 exact duplicate rows (3.22%)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Remove one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entry / export logging errors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Removes double-counting in revenue and transaction counts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22.7% missing CustomerID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Keep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checkouts — valid purchase behavior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for product trend analysis; excluded from customer segmentation</w:t>
            </w:r>
          </w:p>
        </w:tc>
      </w:tr>
    </w:tbl>
    <w:p>
      <w:pPr>
        <w:spacing w:before="10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Cleaning Impact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6"/>
        <w:gridCol w:w="2186"/>
        <w:gridCol w:w="2188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Before Cleaning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 Cleaning</w:t>
            </w:r>
          </w:p>
        </w:tc>
        <w:tc>
          <w:tcPr>
            <w:tcW w:type="dxa" w:w="21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Total Rows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1,067,371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1,018,024</w:t>
            </w:r>
          </w:p>
        </w:tc>
        <w:tc>
          <w:tcPr>
            <w:tcW w:type="dxa" w:w="21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−49,347 anomalies removed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Unique Customers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5,942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5,942</w:t>
            </w:r>
          </w:p>
        </w:tc>
        <w:tc>
          <w:tcPr>
            <w:tcW w:type="dxa" w:w="21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impact on customer base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 anomalies</w:t>
            </w:r>
          </w:p>
        </w:tc>
        <w:tc>
          <w:tcPr>
            <w:tcW w:type="dxa" w:w="2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Clean, validated</w:t>
            </w:r>
          </w:p>
        </w:tc>
        <w:tc>
          <w:tcPr>
            <w:tcW w:type="dxa" w:w="21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downstream reliability</w:t>
            </w:r>
          </w:p>
        </w:tc>
      </w:tr>
    </w:tbl>
    <w:p>
      <w:pPr>
        <w:spacing w:before="120" w:after="0"/>
      </w:pPr>
    </w:p>
    <w:p>
      <w:pPr>
        <w:pBdr>
          <w:bottom w:val="single" w:color="2E86C1" w:sz="8" w:space="4"/>
        </w:pBdr>
        <w:spacing w:before="240" w:after="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 Analysis Approach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>The cleaned data was aggregated into three analytical tables to enable multi-level analysis: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Item level: </w:t>
      </w:r>
      <w:r>
        <w:rPr>
          <w:rFonts w:ascii="Arial" w:cs="Arial" w:eastAsia="Arial" w:hAnsi="Arial"/>
          <w:sz w:val="20"/>
          <w:szCs w:val="20"/>
        </w:rPr>
        <w:t xml:space="preserve">one row per product per invoice — used for product affinity and cross-selling analysis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Order level: </w:t>
      </w:r>
      <w:r>
        <w:rPr>
          <w:rFonts w:ascii="Arial" w:cs="Arial" w:eastAsia="Arial" w:hAnsi="Arial"/>
          <w:sz w:val="20"/>
          <w:szCs w:val="20"/>
        </w:rPr>
        <w:t xml:space="preserve">one row per invoice — total revenue, quantity, cancellation flag per transaction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Customer level: </w:t>
      </w:r>
      <w:r>
        <w:rPr>
          <w:rFonts w:ascii="Arial" w:cs="Arial" w:eastAsia="Arial" w:hAnsi="Arial"/>
          <w:sz w:val="20"/>
          <w:szCs w:val="20"/>
        </w:rPr>
        <w:t xml:space="preserve">one row per customer — RFM metrics (Recency, Frequency, Monetary), cancellation rate, segmentation</w:t>
      </w:r>
    </w:p>
    <w:p>
      <w:pPr>
        <w:spacing w:before="80" w:after="80"/>
      </w:pPr>
    </w:p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>Customer segmentation used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rule-based RFM model</w:t>
      </w:r>
      <w:r>
        <w:rPr>
          <w:rFonts w:ascii="Arial" w:cs="Arial" w:eastAsia="Arial" w:hAnsi="Arial"/>
          <w:sz w:val="20"/>
          <w:szCs w:val="20"/>
        </w:rPr>
        <w:t xml:space="preserve"> with quantile thresholds, applied in priority order: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Risky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Cancellation rate &gt; 50% AND positive revenue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High Value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20% revenue AND top 20% frequency AND cancellation ≤50%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Frequent but Low Spend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20% frequency (≥10 invoices) but below revenue threshold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One-time Buyer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Exactly 1 invoice AND 0% cancellation rate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Low Value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&gt;1 purchase, below high revenue and frequency thresholds</w:t>
            </w:r>
          </w:p>
        </w:tc>
      </w:tr>
    </w:tbl>
    <w:p>
      <w:pPr>
        <w:spacing w:before="120" w:after="0"/>
      </w:pPr>
    </w:p>
    <w:p>
      <w:pPr>
        <w:pBdr>
          <w:bottom w:val="single" w:color="2E86C1" w:sz="8" w:space="4"/>
        </w:pBdr>
        <w:spacing w:before="240" w:after="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 Key Findings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Customer Segment Performance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560"/>
        <w:gridCol w:w="1600"/>
        <w:gridCol w:w="1600"/>
        <w:gridCol w:w="10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Customers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Revenue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Revenue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Orders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Cancel Rate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High Value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19.9%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77.1%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£10,879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17%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Value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49.3%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16.4%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£934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13%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One-time Buyer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23.5%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£297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Frequent but Low Spend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5.2%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£1,997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£1,500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63%</w:t>
            </w:r>
          </w:p>
        </w:tc>
      </w:tr>
    </w:tbl>
    <w:p>
      <w:pPr>
        <w:spacing w:before="12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Time Behavior Insights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Peak shopping days: </w:t>
      </w:r>
      <w:r>
        <w:rPr>
          <w:rFonts w:ascii="Arial" w:cs="Arial" w:eastAsia="Arial" w:hAnsi="Arial"/>
          <w:sz w:val="20"/>
          <w:szCs w:val="20"/>
        </w:rPr>
        <w:t xml:space="preserve">Tuesday – Thursday across all segments (weekends significantly lower)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Peak hours: </w:t>
      </w:r>
      <w:r>
        <w:rPr>
          <w:rFonts w:ascii="Arial" w:cs="Arial" w:eastAsia="Arial" w:hAnsi="Arial"/>
          <w:sz w:val="20"/>
          <w:szCs w:val="20"/>
        </w:rPr>
        <w:t xml:space="preserve">10 AM – 3 PM — optimal window for email campaigns and promotions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Seasonal peak: </w:t>
      </w:r>
      <w:r>
        <w:rPr>
          <w:rFonts w:ascii="Arial" w:cs="Arial" w:eastAsia="Arial" w:hAnsi="Arial"/>
          <w:sz w:val="20"/>
          <w:szCs w:val="20"/>
        </w:rPr>
        <w:t xml:space="preserve">November dominates for all segments, driven by holiday gifting demand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Slowest months: </w:t>
      </w:r>
      <w:r>
        <w:rPr>
          <w:rFonts w:ascii="Arial" w:cs="Arial" w:eastAsia="Arial" w:hAnsi="Arial"/>
          <w:sz w:val="20"/>
          <w:szCs w:val="20"/>
        </w:rPr>
        <w:t xml:space="preserve">January and February — ideal for re-engagement campaigns to recover post-holiday churn</w:t>
      </w:r>
    </w:p>
    <w:p>
      <w:pPr>
        <w:spacing w:before="8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Product Cross-Selling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High Value customers show consistent multi-category purchasing behavior across giftware, kitchen, and seasonal items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Products appearing in 3+ segments represent ‘anchor items’ — high priority for inventory planning and bundle design</w:t>
      </w:r>
    </w:p>
    <w:p>
      <w:pPr>
        <w:spacing w:before="120" w:after="0"/>
      </w:pPr>
    </w:p>
    <w:p>
      <w:pPr>
        <w:pBdr>
          <w:bottom w:val="single" w:color="2E86C1" w:sz="8" w:space="4"/>
        </w:pBdr>
        <w:spacing w:before="240" w:after="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 Business Recommendations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High Value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VIP loyalty program with early product access, personalized cross-sells, and tiered rewards. These 19.9% of customers drive 77% of revenue — retention is the #1 priority.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One-time Buyer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a 3-email post-purchase sequence: (1) product tips, (2) related items, (3) second-purchase discount. Converting even 10% of this group would materially grow the active customer base.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Low Value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6C00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Introduce bundle deals and free-shipping thresholds to lift average order value. Target with promotions during the identified peak hours (10 AM – 3 PM, Tue–Thu).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Frequent but Low Spend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6C00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Upsell to premium product alternatives. Their high frequency signals strong brand affinity — a subscription or bulk-discount offer could significantly increase their monetary value.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Risky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Investigate root causes of 63% cancellation rate (product descriptions, delivery issues). Improve product detail pages before broad re-engagement campaigns.</w:t>
            </w:r>
          </w:p>
        </w:tc>
      </w:tr>
    </w:tbl>
    <w:p>
      <w:pPr>
        <w:spacing w:before="120" w:after="0"/>
      </w:pPr>
    </w:p>
    <w:p>
      <w:pPr>
        <w:pBdr>
          <w:bottom w:val="single" w:color="2E86C1" w:sz="8" w:space="4"/>
        </w:pBdr>
        <w:spacing w:before="240" w:after="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7. Skills Demonstrated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Skill Area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 Was Applied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Data Cleaning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Identified and resolved 5 distinct anomaly types across 1M+ rows; documented every decision with business justification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Data Wrangling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3-level aggregation pipeline (item → order → customer) using Pandas groupby, agg, and merge operations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Statistical Analysis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Applied quantile-based thresholds for segmentation; calculated RFM metrics (Recency, Frequency, Monetary) per customer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Data Visualization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segment comparison charts, time-behavior plots (day/hour/month), and annual trend line charts using Matplotlib and Seaborn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Business Insight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Translated every quantitative finding into a specific, prioritized action for a named stakeholder (Marketing Director, Inventory Manager, CX Head)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the notebook with plain-language markdown sections so non-technical stakeholders can follow without running any code</w:t>
            </w:r>
          </w:p>
        </w:tc>
      </w:tr>
    </w:tbl>
    <w:p>
      <w:pPr>
        <w:spacing w:before="160" w:after="0"/>
      </w:pPr>
    </w:p>
    <w:p>
      <w:pPr>
        <w:pBdr>
          <w:bottom w:val="single" w:color="CCCCCC" w:sz="4" w:space="1"/>
        </w:pBdr>
        <w:spacing w:before="80" w:after="80"/>
      </w:pPr>
    </w:p>
    <w:p>
      <w:pPr>
        <w:spacing w:before="80"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Full analysis notebook: </w:t>
      </w:r>
      <w:hyperlink w:history="1" r:id="rIdtjb211cxhbzm1r_01c139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github.com/thanhthuy280501/retail-clv-segmentation</w:t>
        </w:r>
      </w:hyperlink>
      <w:r>
        <w:rPr>
          <w:rFonts w:ascii="Arial" w:cs="Arial" w:eastAsia="Arial" w:hAnsi="Arial"/>
          <w:sz w:val="20"/>
          <w:szCs w:val="20"/>
        </w:rPr>
        <w:t xml:space="preserve">  ·  Dataset: </w:t>
      </w:r>
      <w:hyperlink w:history="1" r:id="rId0sqpucr9_lqc_si-smgq_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Online Retail II — Kaggle</w:t>
        </w:r>
      </w:hyperlink>
    </w:p>
    <w:p>
      <w:pPr>
        <w:spacing w:before="40" w:after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Thuy Nguyen  ·  thanhthuy28052001@gmail.com  ·  (747) 287-8197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augfqxb-ut5rcilc9fex-" Type="http://schemas.openxmlformats.org/officeDocument/2006/relationships/hyperlink" Target="https://www.linkedin.com/in/thanhthuy280501" TargetMode="External"/><Relationship Id="rIdr5fb-omnbj5bdcqzimftx" Type="http://schemas.openxmlformats.org/officeDocument/2006/relationships/hyperlink" Target="https://github.com/thanhthuy280501" TargetMode="External"/><Relationship Id="rId7trjmcmpqu8jvwnocp4az" Type="http://schemas.openxmlformats.org/officeDocument/2006/relationships/hyperlink" Target="https://www.kaggle.com/datasets/jillwang87/online-retail-ii" TargetMode="External"/><Relationship Id="rIdw66ljikqaivkumkq6u8sk" Type="http://schemas.openxmlformats.org/officeDocument/2006/relationships/hyperlink" Target="https://github.com/thanhthuy280501/retail-clv-segmentation" TargetMode="External"/><Relationship Id="rIdtjb211cxhbzm1r_01c139" Type="http://schemas.openxmlformats.org/officeDocument/2006/relationships/hyperlink" Target="https://github.com/thanhthuy280501/retail-clv-segmentation" TargetMode="External"/><Relationship Id="rId0sqpucr9_lqc_si-smgq_" Type="http://schemas.openxmlformats.org/officeDocument/2006/relationships/hyperlink" Target="https://www.kaggle.com/datasets/jillwang87/online-retail-ii" TargetMode="External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2026-03-31T00:56:53.783Z</dcterms:created>
  <dcterms:modified xsi:type="dcterms:W3CDTF">2026-03-31T00:56:53.784Z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