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6C9E" w14:textId="50738EAF" w:rsidR="005D5288" w:rsidRDefault="00DB1A30" w:rsidP="00385F42">
      <w:pPr>
        <w:pStyle w:val="Title"/>
      </w:pPr>
      <w:r w:rsidRPr="00385F42">
        <w:t xml:space="preserve">Metadata for </w:t>
      </w:r>
      <w:r w:rsidR="008519DA" w:rsidRPr="008519DA">
        <w:t>Water chemistry from the Red River Delta, Vietnam, 2018 to 2020</w:t>
      </w:r>
    </w:p>
    <w:p w14:paraId="7C35BD0B" w14:textId="5A5EC177" w:rsidR="008519DA" w:rsidRDefault="008519DA" w:rsidP="008519DA">
      <w:pPr>
        <w:pStyle w:val="Heading1"/>
      </w:pPr>
      <w:r>
        <w:t>Data access and citation</w:t>
      </w:r>
    </w:p>
    <w:p w14:paraId="0030E0E7" w14:textId="550E8E02" w:rsidR="008519DA" w:rsidRDefault="008519DA" w:rsidP="008519DA">
      <w:r>
        <w:t xml:space="preserve">You can access the data from </w:t>
      </w:r>
      <w:hyperlink r:id="rId7" w:history="1">
        <w:r w:rsidRPr="00D64169">
          <w:rPr>
            <w:rStyle w:val="Hyperlink"/>
          </w:rPr>
          <w:t>https://doi.org/10.5285/7e35e760-0ca2-4290-8970-464ead03055d</w:t>
        </w:r>
      </w:hyperlink>
      <w:r>
        <w:t xml:space="preserve"> </w:t>
      </w:r>
    </w:p>
    <w:p w14:paraId="2A6AD8D1" w14:textId="01A54028" w:rsidR="008519DA" w:rsidRDefault="008519DA" w:rsidP="008519DA">
      <w:pPr>
        <w:spacing w:after="40"/>
      </w:pPr>
      <w:r>
        <w:t xml:space="preserve">The data is available under the terms of the </w:t>
      </w:r>
      <w:hyperlink r:id="rId8" w:history="1">
        <w:r w:rsidRPr="008519DA">
          <w:rPr>
            <w:rStyle w:val="Hyperlink"/>
          </w:rPr>
          <w:t>Open Government Licence v3</w:t>
        </w:r>
      </w:hyperlink>
      <w:r>
        <w:t xml:space="preserve">. When using the </w:t>
      </w:r>
      <w:proofErr w:type="gramStart"/>
      <w:r>
        <w:t>data</w:t>
      </w:r>
      <w:proofErr w:type="gramEnd"/>
      <w:r>
        <w:t xml:space="preserve"> you must cite:</w:t>
      </w:r>
    </w:p>
    <w:p w14:paraId="4054B9CC" w14:textId="7241AC97" w:rsidR="008519DA" w:rsidRPr="008519DA" w:rsidRDefault="008519DA" w:rsidP="008519DA">
      <w:pPr>
        <w:ind w:left="720"/>
      </w:pPr>
      <w:r w:rsidRPr="008519DA">
        <w:t>McGowan, S.</w:t>
      </w:r>
      <w:r>
        <w:t xml:space="preserve"> &amp; </w:t>
      </w:r>
      <w:r w:rsidRPr="008519DA">
        <w:t>Salgado, J.</w:t>
      </w:r>
      <w:r>
        <w:t xml:space="preserve"> (2022). </w:t>
      </w:r>
      <w:r w:rsidRPr="008519DA">
        <w:rPr>
          <w:b/>
          <w:bCs/>
        </w:rPr>
        <w:t>Water chemistry from the Red River Delta, Vietnam, 2018 to 2020</w:t>
      </w:r>
      <w:r>
        <w:t xml:space="preserve">. </w:t>
      </w:r>
      <w:r w:rsidRPr="008519DA">
        <w:t>NERC</w:t>
      </w:r>
      <w:r>
        <w:t xml:space="preserve"> EDS</w:t>
      </w:r>
      <w:r w:rsidRPr="008519DA">
        <w:t xml:space="preserve"> Environmental Information Data Centre. (Dataset).</w:t>
      </w:r>
      <w:r>
        <w:t xml:space="preserve"> </w:t>
      </w:r>
      <w:r w:rsidRPr="008519DA">
        <w:t>https://doi.org/10.5285/7e35e760-0ca2-4290-8970-464ead03055d</w:t>
      </w:r>
    </w:p>
    <w:p w14:paraId="07A61ACB" w14:textId="61FCEA6E" w:rsidR="005D5288" w:rsidRPr="00DB1A30" w:rsidRDefault="00442B8E" w:rsidP="00385F42">
      <w:pPr>
        <w:pStyle w:val="Heading1"/>
      </w:pPr>
      <w:r w:rsidRPr="00DB1A30">
        <w:t>S</w:t>
      </w:r>
      <w:r w:rsidR="005D5288" w:rsidRPr="00DB1A30">
        <w:t>ampling regime</w:t>
      </w:r>
    </w:p>
    <w:p w14:paraId="7D414E5E" w14:textId="1034FCD0" w:rsidR="00E41002" w:rsidRPr="00DB1A30" w:rsidRDefault="00E41002" w:rsidP="00385F42">
      <w:r w:rsidRPr="00DB1A30">
        <w:t xml:space="preserve">The sampling took place in </w:t>
      </w:r>
      <w:r w:rsidR="006361EF" w:rsidRPr="00DB1A30">
        <w:t xml:space="preserve">rivers of </w:t>
      </w:r>
      <w:r w:rsidRPr="00DB1A30">
        <w:t xml:space="preserve">the Red River Delta </w:t>
      </w:r>
      <w:r w:rsidR="006361EF" w:rsidRPr="00DB1A30">
        <w:t>within around 100km of</w:t>
      </w:r>
      <w:r w:rsidRPr="00DB1A30">
        <w:t xml:space="preserve"> </w:t>
      </w:r>
      <w:r w:rsidR="006361EF" w:rsidRPr="00DB1A30">
        <w:t>Hanoi (</w:t>
      </w:r>
      <w:r w:rsidRPr="00DB1A30">
        <w:t>20° 57’ 56.52” N 105° 48’ 16.78” E</w:t>
      </w:r>
      <w:r w:rsidR="006361EF" w:rsidRPr="00DB1A30">
        <w:t>)</w:t>
      </w:r>
      <w:r w:rsidR="00434CC0" w:rsidRPr="00DB1A30">
        <w:t>.</w:t>
      </w:r>
    </w:p>
    <w:p w14:paraId="3104DD96" w14:textId="77777777" w:rsidR="00385F42" w:rsidRDefault="006361EF" w:rsidP="00385F42">
      <w:pPr>
        <w:spacing w:after="40"/>
      </w:pPr>
      <w:r w:rsidRPr="00DB1A30">
        <w:t xml:space="preserve">There are </w:t>
      </w:r>
      <w:r w:rsidR="00385F42">
        <w:t>ten</w:t>
      </w:r>
      <w:r w:rsidRPr="00DB1A30">
        <w:t xml:space="preserve"> sampling stations along </w:t>
      </w:r>
      <w:r w:rsidR="007D37D1" w:rsidRPr="00DB1A30">
        <w:t>the Red River:</w:t>
      </w:r>
    </w:p>
    <w:p w14:paraId="08AE120E" w14:textId="77777777" w:rsidR="008519DA" w:rsidRDefault="008519DA" w:rsidP="00385F42">
      <w:pPr>
        <w:spacing w:after="40"/>
        <w:ind w:left="720"/>
        <w:rPr>
          <w:lang w:val="vi-VN"/>
        </w:rPr>
        <w:sectPr w:rsidR="008519DA" w:rsidSect="000F4891">
          <w:footerReference w:type="default" r:id="rId9"/>
          <w:pgSz w:w="11906" w:h="16838"/>
          <w:pgMar w:top="1440" w:right="1440" w:bottom="1440" w:left="1440" w:header="709" w:footer="709" w:gutter="0"/>
          <w:cols w:space="708"/>
          <w:docGrid w:linePitch="360"/>
        </w:sectPr>
      </w:pPr>
    </w:p>
    <w:p w14:paraId="781264BF" w14:textId="77777777" w:rsidR="00385F42" w:rsidRPr="00385F42" w:rsidRDefault="007D37D1" w:rsidP="00385F42">
      <w:pPr>
        <w:spacing w:after="40"/>
        <w:ind w:left="720"/>
        <w:rPr>
          <w:lang w:val="vi-VN"/>
        </w:rPr>
      </w:pPr>
      <w:r w:rsidRPr="00385F42">
        <w:rPr>
          <w:lang w:val="vi-VN"/>
        </w:rPr>
        <w:t>Yen Bai (H1);</w:t>
      </w:r>
    </w:p>
    <w:p w14:paraId="190BA00B" w14:textId="77777777" w:rsidR="00385F42" w:rsidRPr="00385F42" w:rsidRDefault="007D37D1" w:rsidP="00385F42">
      <w:pPr>
        <w:spacing w:after="40"/>
        <w:ind w:left="720"/>
        <w:rPr>
          <w:lang w:val="vi-VN"/>
        </w:rPr>
      </w:pPr>
      <w:r w:rsidRPr="00385F42">
        <w:rPr>
          <w:lang w:val="vi-VN"/>
        </w:rPr>
        <w:t>Vu Quang (H2);</w:t>
      </w:r>
    </w:p>
    <w:p w14:paraId="0D6E6609" w14:textId="77777777" w:rsidR="00385F42" w:rsidRPr="00385F42" w:rsidRDefault="007D37D1" w:rsidP="00385F42">
      <w:pPr>
        <w:spacing w:after="40"/>
        <w:ind w:left="720"/>
        <w:rPr>
          <w:lang w:val="vi-VN"/>
        </w:rPr>
      </w:pPr>
      <w:r w:rsidRPr="00385F42">
        <w:rPr>
          <w:lang w:val="vi-VN"/>
        </w:rPr>
        <w:t>Hoa Binh (H3);</w:t>
      </w:r>
    </w:p>
    <w:p w14:paraId="246F9F02" w14:textId="77777777" w:rsidR="00385F42" w:rsidRDefault="007D37D1" w:rsidP="00385F42">
      <w:pPr>
        <w:spacing w:after="40"/>
        <w:ind w:left="720"/>
        <w:rPr>
          <w:lang w:val="vi-VN"/>
        </w:rPr>
      </w:pPr>
      <w:r w:rsidRPr="00385F42">
        <w:rPr>
          <w:lang w:val="vi-VN"/>
        </w:rPr>
        <w:t>Son Tay (H4);</w:t>
      </w:r>
    </w:p>
    <w:p w14:paraId="7D7CF384" w14:textId="77777777" w:rsidR="00385F42" w:rsidRDefault="007D37D1" w:rsidP="00385F42">
      <w:pPr>
        <w:spacing w:after="40"/>
        <w:ind w:left="720"/>
        <w:rPr>
          <w:lang w:val="vi-VN"/>
        </w:rPr>
      </w:pPr>
      <w:r w:rsidRPr="00385F42">
        <w:rPr>
          <w:lang w:val="vi-VN"/>
        </w:rPr>
        <w:t>Ha Noi (H5);</w:t>
      </w:r>
    </w:p>
    <w:p w14:paraId="6BFD2874" w14:textId="77777777" w:rsidR="00385F42" w:rsidRDefault="007D37D1" w:rsidP="00385F42">
      <w:pPr>
        <w:spacing w:after="40"/>
        <w:ind w:left="720"/>
        <w:rPr>
          <w:lang w:val="vi-VN"/>
        </w:rPr>
      </w:pPr>
      <w:r w:rsidRPr="00385F42">
        <w:rPr>
          <w:lang w:val="vi-VN"/>
        </w:rPr>
        <w:t>Gian Khau (H6);</w:t>
      </w:r>
    </w:p>
    <w:p w14:paraId="2D256B75" w14:textId="77777777" w:rsidR="00385F42" w:rsidRDefault="007D37D1" w:rsidP="00385F42">
      <w:pPr>
        <w:spacing w:after="40"/>
        <w:ind w:left="720"/>
        <w:rPr>
          <w:lang w:val="vi-VN"/>
        </w:rPr>
      </w:pPr>
      <w:r w:rsidRPr="00385F42">
        <w:rPr>
          <w:lang w:val="vi-VN"/>
        </w:rPr>
        <w:t>Quyet Chien (H7);</w:t>
      </w:r>
    </w:p>
    <w:p w14:paraId="44443017" w14:textId="77777777" w:rsidR="00385F42" w:rsidRDefault="007D37D1" w:rsidP="00385F42">
      <w:pPr>
        <w:spacing w:after="40"/>
        <w:ind w:left="720"/>
        <w:rPr>
          <w:lang w:val="vi-VN"/>
        </w:rPr>
      </w:pPr>
      <w:r w:rsidRPr="00385F42">
        <w:rPr>
          <w:lang w:val="vi-VN"/>
        </w:rPr>
        <w:t>Nam Dinh (H8);</w:t>
      </w:r>
    </w:p>
    <w:p w14:paraId="6F2DB6B3" w14:textId="77777777" w:rsidR="00385F42" w:rsidRDefault="007D37D1" w:rsidP="00385F42">
      <w:pPr>
        <w:spacing w:after="40"/>
        <w:ind w:left="720"/>
        <w:rPr>
          <w:lang w:val="vi-VN"/>
        </w:rPr>
      </w:pPr>
      <w:r w:rsidRPr="00385F42">
        <w:rPr>
          <w:lang w:val="vi-VN"/>
        </w:rPr>
        <w:t>Truc Phuong (H9);</w:t>
      </w:r>
    </w:p>
    <w:p w14:paraId="36FA68E0" w14:textId="19871B44" w:rsidR="006361EF" w:rsidRPr="00385F42" w:rsidRDefault="007D37D1" w:rsidP="00385F42">
      <w:pPr>
        <w:ind w:left="720"/>
        <w:rPr>
          <w:lang w:val="vi-VN"/>
        </w:rPr>
      </w:pPr>
      <w:r w:rsidRPr="00385F42">
        <w:rPr>
          <w:lang w:val="vi-VN"/>
        </w:rPr>
        <w:t>Ba Lat (H10)</w:t>
      </w:r>
    </w:p>
    <w:p w14:paraId="18F74FD2" w14:textId="77777777" w:rsidR="008519DA" w:rsidRDefault="008519DA" w:rsidP="00385F42">
      <w:pPr>
        <w:spacing w:after="40"/>
        <w:sectPr w:rsidR="008519DA" w:rsidSect="008519DA">
          <w:type w:val="continuous"/>
          <w:pgSz w:w="11906" w:h="16838"/>
          <w:pgMar w:top="1440" w:right="1440" w:bottom="1440" w:left="1440" w:header="709" w:footer="709" w:gutter="0"/>
          <w:cols w:num="2" w:space="708"/>
          <w:docGrid w:linePitch="360"/>
        </w:sectPr>
      </w:pPr>
    </w:p>
    <w:p w14:paraId="32AD2EC6" w14:textId="77777777" w:rsidR="00385F42" w:rsidRDefault="006361EF" w:rsidP="00385F42">
      <w:pPr>
        <w:spacing w:after="40"/>
      </w:pPr>
      <w:r w:rsidRPr="00DB1A30">
        <w:t>There are</w:t>
      </w:r>
      <w:r w:rsidR="007D37D1" w:rsidRPr="00DB1A30">
        <w:t xml:space="preserve"> </w:t>
      </w:r>
      <w:r w:rsidR="00385F42">
        <w:t>eleven</w:t>
      </w:r>
      <w:r w:rsidR="007D37D1" w:rsidRPr="00DB1A30">
        <w:t xml:space="preserve"> stations along the Day River:</w:t>
      </w:r>
    </w:p>
    <w:p w14:paraId="62BDEF9F" w14:textId="77777777" w:rsidR="008519DA" w:rsidRDefault="008519DA" w:rsidP="00385F42">
      <w:pPr>
        <w:spacing w:after="40"/>
        <w:ind w:left="720"/>
        <w:rPr>
          <w:lang w:val="vi-VN"/>
        </w:rPr>
        <w:sectPr w:rsidR="008519DA" w:rsidSect="008519DA">
          <w:type w:val="continuous"/>
          <w:pgSz w:w="11906" w:h="16838"/>
          <w:pgMar w:top="1440" w:right="1440" w:bottom="1440" w:left="1440" w:header="709" w:footer="709" w:gutter="0"/>
          <w:cols w:space="708"/>
          <w:docGrid w:linePitch="360"/>
        </w:sectPr>
      </w:pPr>
    </w:p>
    <w:p w14:paraId="35661C02" w14:textId="77777777" w:rsidR="00385F42" w:rsidRDefault="007D37D1" w:rsidP="00385F42">
      <w:pPr>
        <w:spacing w:after="40"/>
        <w:ind w:left="720"/>
        <w:rPr>
          <w:lang w:val="vi-VN"/>
        </w:rPr>
      </w:pPr>
      <w:r w:rsidRPr="00385F42">
        <w:rPr>
          <w:lang w:val="vi-VN"/>
        </w:rPr>
        <w:t>Phung Dam (D1);</w:t>
      </w:r>
    </w:p>
    <w:p w14:paraId="0BC6FE09" w14:textId="77777777" w:rsidR="00385F42" w:rsidRDefault="007D37D1" w:rsidP="00385F42">
      <w:pPr>
        <w:spacing w:after="40"/>
        <w:ind w:left="720"/>
        <w:rPr>
          <w:lang w:val="vi-VN"/>
        </w:rPr>
      </w:pPr>
      <w:r w:rsidRPr="00385F42">
        <w:rPr>
          <w:lang w:val="vi-VN"/>
        </w:rPr>
        <w:t>Mai Linh Bridge (D2);</w:t>
      </w:r>
    </w:p>
    <w:p w14:paraId="30772142" w14:textId="77777777" w:rsidR="00385F42" w:rsidRDefault="007D37D1" w:rsidP="00385F42">
      <w:pPr>
        <w:spacing w:after="40"/>
        <w:ind w:left="720"/>
        <w:rPr>
          <w:lang w:val="vi-VN"/>
        </w:rPr>
      </w:pPr>
      <w:r w:rsidRPr="00385F42">
        <w:rPr>
          <w:lang w:val="vi-VN"/>
        </w:rPr>
        <w:t>Ba Tha (D3);</w:t>
      </w:r>
    </w:p>
    <w:p w14:paraId="53C6046D" w14:textId="40E1C609" w:rsidR="00385F42" w:rsidRDefault="007D37D1" w:rsidP="00385F42">
      <w:pPr>
        <w:spacing w:after="40"/>
        <w:ind w:left="720"/>
        <w:rPr>
          <w:lang w:val="vi-VN"/>
        </w:rPr>
      </w:pPr>
      <w:r w:rsidRPr="00385F42">
        <w:rPr>
          <w:lang w:val="vi-VN"/>
        </w:rPr>
        <w:t>Te Tieu Bridge (D4);</w:t>
      </w:r>
    </w:p>
    <w:p w14:paraId="26E386F2" w14:textId="77777777" w:rsidR="00385F42" w:rsidRPr="00385F42" w:rsidRDefault="007D37D1" w:rsidP="00385F42">
      <w:pPr>
        <w:spacing w:after="40"/>
        <w:ind w:left="720"/>
        <w:rPr>
          <w:lang w:val="vi-VN"/>
        </w:rPr>
      </w:pPr>
      <w:r w:rsidRPr="00385F42">
        <w:rPr>
          <w:lang w:val="vi-VN"/>
        </w:rPr>
        <w:t>Que Bridge (D5)</w:t>
      </w:r>
      <w:r w:rsidR="00385F42" w:rsidRPr="00385F42">
        <w:rPr>
          <w:lang w:val="vi-VN"/>
        </w:rPr>
        <w:t>;</w:t>
      </w:r>
    </w:p>
    <w:p w14:paraId="7B0B618D" w14:textId="1224BFEC" w:rsidR="00385F42" w:rsidRDefault="007D37D1" w:rsidP="008519DA">
      <w:pPr>
        <w:ind w:left="720"/>
        <w:rPr>
          <w:lang w:val="vi-VN"/>
        </w:rPr>
      </w:pPr>
      <w:r w:rsidRPr="00385F42">
        <w:rPr>
          <w:lang w:val="vi-VN"/>
        </w:rPr>
        <w:t>Do Bridge (D6);</w:t>
      </w:r>
    </w:p>
    <w:p w14:paraId="164F39AD" w14:textId="77777777" w:rsidR="00385F42" w:rsidRDefault="007D37D1" w:rsidP="00385F42">
      <w:pPr>
        <w:spacing w:after="40"/>
        <w:ind w:left="720"/>
        <w:rPr>
          <w:lang w:val="vi-VN"/>
        </w:rPr>
      </w:pPr>
      <w:r w:rsidRPr="00385F42">
        <w:rPr>
          <w:lang w:val="vi-VN"/>
        </w:rPr>
        <w:t>Doan Vy Bridge (D7);</w:t>
      </w:r>
    </w:p>
    <w:p w14:paraId="3C480E2C" w14:textId="4E7269BC" w:rsidR="00385F42" w:rsidRDefault="007D37D1" w:rsidP="00385F42">
      <w:pPr>
        <w:spacing w:after="40"/>
        <w:ind w:left="720"/>
        <w:rPr>
          <w:lang w:val="vi-VN"/>
        </w:rPr>
      </w:pPr>
      <w:r w:rsidRPr="00385F42">
        <w:rPr>
          <w:lang w:val="vi-VN"/>
        </w:rPr>
        <w:t>Non Nuoc Bridge (D8);</w:t>
      </w:r>
    </w:p>
    <w:p w14:paraId="1F37E492" w14:textId="7B851A1F" w:rsidR="00385F42" w:rsidRDefault="007D37D1" w:rsidP="00385F42">
      <w:pPr>
        <w:spacing w:after="40"/>
        <w:ind w:left="720"/>
        <w:rPr>
          <w:lang w:val="vi-VN"/>
        </w:rPr>
      </w:pPr>
      <w:r w:rsidRPr="00385F42">
        <w:rPr>
          <w:lang w:val="vi-VN"/>
        </w:rPr>
        <w:t>Do Thong (D9);</w:t>
      </w:r>
    </w:p>
    <w:p w14:paraId="54710359" w14:textId="514A01E7" w:rsidR="00385F42" w:rsidRDefault="007D37D1" w:rsidP="00385F42">
      <w:pPr>
        <w:spacing w:after="40"/>
        <w:ind w:left="720"/>
        <w:rPr>
          <w:lang w:val="vi-VN"/>
        </w:rPr>
      </w:pPr>
      <w:r w:rsidRPr="00385F42">
        <w:rPr>
          <w:lang w:val="vi-VN"/>
        </w:rPr>
        <w:t>Do Muoi (D10);</w:t>
      </w:r>
    </w:p>
    <w:p w14:paraId="0CCDA781" w14:textId="3E4411F0" w:rsidR="007D37D1" w:rsidRPr="00385F42" w:rsidRDefault="007D37D1" w:rsidP="00385F42">
      <w:pPr>
        <w:ind w:left="720"/>
        <w:rPr>
          <w:lang w:val="vi-VN"/>
        </w:rPr>
      </w:pPr>
      <w:r w:rsidRPr="00385F42">
        <w:rPr>
          <w:lang w:val="vi-VN"/>
        </w:rPr>
        <w:t>Nhu Tan (D11).</w:t>
      </w:r>
    </w:p>
    <w:p w14:paraId="2B9E99C7" w14:textId="77777777" w:rsidR="008519DA" w:rsidRDefault="008519DA" w:rsidP="00385F42">
      <w:pPr>
        <w:sectPr w:rsidR="008519DA" w:rsidSect="008519DA">
          <w:type w:val="continuous"/>
          <w:pgSz w:w="11906" w:h="16838"/>
          <w:pgMar w:top="1440" w:right="1440" w:bottom="1440" w:left="1440" w:header="709" w:footer="709" w:gutter="0"/>
          <w:cols w:num="2" w:space="708"/>
          <w:docGrid w:linePitch="360"/>
        </w:sectPr>
      </w:pPr>
    </w:p>
    <w:p w14:paraId="407BF8CC" w14:textId="66352486" w:rsidR="00C56DB0" w:rsidRPr="00DB1A30" w:rsidRDefault="00C56DB0" w:rsidP="008519DA">
      <w:r w:rsidRPr="00DB1A30">
        <w:t>The locations (latitude/ longitude) of individual sites are given in the dataset.</w:t>
      </w:r>
    </w:p>
    <w:p w14:paraId="4B8A330D" w14:textId="77777777" w:rsidR="008519DA" w:rsidRDefault="008519DA">
      <w:pPr>
        <w:keepLines w:val="0"/>
        <w:spacing w:after="0" w:line="240" w:lineRule="auto"/>
        <w:rPr>
          <w:rFonts w:asciiTheme="majorHAnsi" w:eastAsiaTheme="majorEastAsia" w:hAnsiTheme="majorHAnsi" w:cstheme="majorBidi"/>
          <w:color w:val="2F5496" w:themeColor="accent1" w:themeShade="BF"/>
          <w:sz w:val="32"/>
          <w:szCs w:val="32"/>
        </w:rPr>
      </w:pPr>
      <w:r>
        <w:br w:type="page"/>
      </w:r>
    </w:p>
    <w:p w14:paraId="18FB3FD0" w14:textId="7E7E3A29" w:rsidR="00E66A0C" w:rsidRPr="00DB1A30" w:rsidRDefault="00E66A0C" w:rsidP="00385F42">
      <w:pPr>
        <w:pStyle w:val="Heading1"/>
      </w:pPr>
      <w:r w:rsidRPr="00DB1A30">
        <w:lastRenderedPageBreak/>
        <w:t>Collection/Generation/Transformation Methods</w:t>
      </w:r>
    </w:p>
    <w:p w14:paraId="6CB37320" w14:textId="1DFBA21E" w:rsidR="006361EF" w:rsidRPr="00DB1A30" w:rsidRDefault="006361EF" w:rsidP="00385F42">
      <w:r w:rsidRPr="00DB1A30">
        <w:t xml:space="preserve">Sampling took place once per month at each station. The sampling started </w:t>
      </w:r>
      <w:r w:rsidR="00434CC0" w:rsidRPr="00DB1A30">
        <w:t xml:space="preserve">in February 2018 and </w:t>
      </w:r>
      <w:r w:rsidR="00C56DB0" w:rsidRPr="00DB1A30">
        <w:t>ended</w:t>
      </w:r>
      <w:r w:rsidR="00434CC0" w:rsidRPr="00DB1A30">
        <w:t xml:space="preserve"> in January 2020</w:t>
      </w:r>
      <w:r w:rsidR="00E66A0C" w:rsidRPr="00DB1A30">
        <w:t>.</w:t>
      </w:r>
      <w:r w:rsidRPr="00DB1A30">
        <w:t xml:space="preserve"> </w:t>
      </w:r>
      <w:r w:rsidR="00C56DB0" w:rsidRPr="00DB1A30">
        <w:t>Surface water samples were collected into a Nalgene bottle and stored at 4°C before analysis within 48 h.</w:t>
      </w:r>
    </w:p>
    <w:p w14:paraId="26C0B423" w14:textId="0CC2D6FB" w:rsidR="00CD3CF9" w:rsidRPr="00DB1A30" w:rsidRDefault="0077544D" w:rsidP="00385F42">
      <w:r w:rsidRPr="00DB1A30">
        <w:t>The seasonal timing of sampling was designated, dependent on whether the sample was</w:t>
      </w:r>
      <w:r w:rsidR="007D37D1" w:rsidRPr="00DB1A30">
        <w:t xml:space="preserve"> </w:t>
      </w:r>
      <w:r w:rsidRPr="00DB1A30">
        <w:t xml:space="preserve">collected in the </w:t>
      </w:r>
      <w:r w:rsidR="007D37D1" w:rsidRPr="00DB1A30">
        <w:t xml:space="preserve">dry (November-April) </w:t>
      </w:r>
      <w:r w:rsidRPr="00DB1A30">
        <w:t>or</w:t>
      </w:r>
      <w:r w:rsidR="007D37D1" w:rsidRPr="00DB1A30">
        <w:t xml:space="preserve"> rainy (May-October</w:t>
      </w:r>
      <w:r w:rsidRPr="00DB1A30">
        <w:t>)</w:t>
      </w:r>
      <w:r w:rsidR="007D37D1" w:rsidRPr="00DB1A30">
        <w:t xml:space="preserve"> </w:t>
      </w:r>
      <w:r w:rsidRPr="00DB1A30">
        <w:t xml:space="preserve">season. </w:t>
      </w:r>
      <w:r w:rsidR="007D37D1" w:rsidRPr="00DB1A30">
        <w:t xml:space="preserve"> </w:t>
      </w:r>
    </w:p>
    <w:p w14:paraId="6AC77B21" w14:textId="1BEE7DB1" w:rsidR="007D37D1" w:rsidRPr="00DB1A30" w:rsidRDefault="007D37D1" w:rsidP="00385F42">
      <w:r w:rsidRPr="00DB1A30">
        <w:t xml:space="preserve">Geographical (latitude-longitude) position of each sampling point was recorded using a GPS. </w:t>
      </w:r>
    </w:p>
    <w:p w14:paraId="77661C9D" w14:textId="5D4029EB" w:rsidR="00E5553A" w:rsidRPr="00DB1A30" w:rsidRDefault="007D37D1" w:rsidP="00385F42">
      <w:r w:rsidRPr="00DB1A30">
        <w:t xml:space="preserve">Temperature, pH, </w:t>
      </w:r>
      <w:r w:rsidR="00650194" w:rsidRPr="00DB1A30">
        <w:t>dissolved oxygen</w:t>
      </w:r>
      <w:r w:rsidRPr="00DB1A30">
        <w:t xml:space="preserve">, salinity, and turbidity were measured in situ with a </w:t>
      </w:r>
      <w:proofErr w:type="spellStart"/>
      <w:r w:rsidRPr="00DB1A30">
        <w:t>Hydrolab</w:t>
      </w:r>
      <w:proofErr w:type="spellEnd"/>
      <w:r w:rsidRPr="00DB1A30">
        <w:t xml:space="preserve"> Sonde DS5 (USA). </w:t>
      </w:r>
    </w:p>
    <w:p w14:paraId="507C0DC9" w14:textId="77777777" w:rsidR="00E5553A" w:rsidRPr="00DB1A30" w:rsidRDefault="00E5553A" w:rsidP="00385F42">
      <w:pPr>
        <w:pStyle w:val="Heading1"/>
      </w:pPr>
      <w:r w:rsidRPr="00DB1A30">
        <w:t>Analytical methods</w:t>
      </w:r>
    </w:p>
    <w:p w14:paraId="01CBA025" w14:textId="43021840" w:rsidR="007D37D1" w:rsidRPr="00DB1A30" w:rsidRDefault="00E5553A" w:rsidP="00385F42">
      <w:r w:rsidRPr="00DB1A30">
        <w:t>TDN, TDP, NO</w:t>
      </w:r>
      <w:r w:rsidRPr="00DB1A30">
        <w:rPr>
          <w:vertAlign w:val="subscript"/>
        </w:rPr>
        <w:t>3</w:t>
      </w:r>
      <w:r w:rsidRPr="00DB1A30">
        <w:t>-N, NO</w:t>
      </w:r>
      <w:r w:rsidRPr="00DB1A30">
        <w:rPr>
          <w:vertAlign w:val="subscript"/>
        </w:rPr>
        <w:t>2</w:t>
      </w:r>
      <w:r w:rsidRPr="00DB1A30">
        <w:t>-N, NH</w:t>
      </w:r>
      <w:r w:rsidRPr="00DB1A30">
        <w:rPr>
          <w:vertAlign w:val="subscript"/>
        </w:rPr>
        <w:t>4</w:t>
      </w:r>
      <w:r w:rsidRPr="00DB1A30">
        <w:t>-N, SO</w:t>
      </w:r>
      <w:r w:rsidRPr="00DB1A30">
        <w:rPr>
          <w:vertAlign w:val="subscript"/>
        </w:rPr>
        <w:t>4</w:t>
      </w:r>
      <w:r w:rsidRPr="00DB1A30">
        <w:rPr>
          <w:vertAlign w:val="superscript"/>
        </w:rPr>
        <w:t>2-</w:t>
      </w:r>
      <w:r w:rsidRPr="00DB1A30">
        <w:t xml:space="preserve">, and TA were determined according to (APHA, 1912) with ﬁltration (Whatman GF/F; 0.7µm pore size) for soluble parameters.  </w:t>
      </w:r>
      <w:r w:rsidR="007D37D1" w:rsidRPr="00DB1A30">
        <w:t>TA was measured on ﬁltered samples and determined by the single-point titration method using methyl orange and phenolphthalein as indicators, respectively. NO</w:t>
      </w:r>
      <w:r w:rsidR="007D37D1" w:rsidRPr="00DB1A30">
        <w:rPr>
          <w:vertAlign w:val="subscript"/>
        </w:rPr>
        <w:t>3</w:t>
      </w:r>
      <w:r w:rsidR="007D37D1" w:rsidRPr="00DB1A30">
        <w:t>-N was determined by quantitative reduction to NO</w:t>
      </w:r>
      <w:r w:rsidR="007D37D1" w:rsidRPr="00DB1A30">
        <w:rPr>
          <w:vertAlign w:val="subscript"/>
        </w:rPr>
        <w:t>2</w:t>
      </w:r>
      <w:r w:rsidR="007D37D1" w:rsidRPr="00DB1A30">
        <w:t>-N on a cadmium column, followed by colorimetric determination at 540 nm of nitrite using the Griess reaction (Standard method 4500-NO3 E; APHA, 1912). The NO</w:t>
      </w:r>
      <w:r w:rsidR="007D37D1" w:rsidRPr="00DB1A30">
        <w:rPr>
          <w:vertAlign w:val="subscript"/>
        </w:rPr>
        <w:t>2</w:t>
      </w:r>
      <w:r w:rsidR="007D37D1" w:rsidRPr="00DB1A30">
        <w:t>-N protocol followed that for NO</w:t>
      </w:r>
      <w:r w:rsidR="007D37D1" w:rsidRPr="00DB1A30">
        <w:rPr>
          <w:vertAlign w:val="subscript"/>
        </w:rPr>
        <w:t>3</w:t>
      </w:r>
      <w:r w:rsidR="007D37D1" w:rsidRPr="00DB1A30">
        <w:t>-N without the reduction step. NH</w:t>
      </w:r>
      <w:r w:rsidR="007D37D1" w:rsidRPr="00DB1A30">
        <w:rPr>
          <w:vertAlign w:val="subscript"/>
        </w:rPr>
        <w:t>4</w:t>
      </w:r>
      <w:r w:rsidR="007D37D1" w:rsidRPr="00DB1A30">
        <w:t xml:space="preserve">-N was determined </w:t>
      </w:r>
      <w:proofErr w:type="spellStart"/>
      <w:r w:rsidR="007D37D1" w:rsidRPr="00DB1A30">
        <w:t>colorimetrically</w:t>
      </w:r>
      <w:proofErr w:type="spellEnd"/>
      <w:r w:rsidR="007D37D1" w:rsidRPr="00DB1A30">
        <w:t xml:space="preserve"> at 640 nm by the phenol hypochlorite method (Standard method 4500-NH3 F. phenate; APHA, 1912). The </w:t>
      </w:r>
      <w:proofErr w:type="spellStart"/>
      <w:r w:rsidR="007D37D1" w:rsidRPr="00DB1A30">
        <w:t>Kjeldahl</w:t>
      </w:r>
      <w:proofErr w:type="spellEnd"/>
      <w:r w:rsidR="007D37D1" w:rsidRPr="00DB1A30">
        <w:t xml:space="preserve"> digestion method was used for TDN analysis (Standard method 4500-Norg B; APHA, 1912). To determine TDP, ﬁltered samples were oxidized by (NH</w:t>
      </w:r>
      <w:r w:rsidR="007D37D1" w:rsidRPr="00DB1A30">
        <w:rPr>
          <w:vertAlign w:val="subscript"/>
        </w:rPr>
        <w:t>4</w:t>
      </w:r>
      <w:r w:rsidR="007D37D1" w:rsidRPr="00DB1A30">
        <w:t>)</w:t>
      </w:r>
      <w:r w:rsidR="007D37D1" w:rsidRPr="00DB1A30">
        <w:rPr>
          <w:vertAlign w:val="subscript"/>
        </w:rPr>
        <w:t>2</w:t>
      </w:r>
      <w:r w:rsidR="007D37D1" w:rsidRPr="00DB1A30">
        <w:t>S</w:t>
      </w:r>
      <w:r w:rsidR="007D37D1" w:rsidRPr="00DB1A30">
        <w:rPr>
          <w:vertAlign w:val="subscript"/>
        </w:rPr>
        <w:t>2</w:t>
      </w:r>
      <w:r w:rsidR="007D37D1" w:rsidRPr="00DB1A30">
        <w:t>O</w:t>
      </w:r>
      <w:r w:rsidR="007D37D1" w:rsidRPr="00DB1A30">
        <w:rPr>
          <w:vertAlign w:val="subscript"/>
        </w:rPr>
        <w:t>8</w:t>
      </w:r>
      <w:r w:rsidR="007D37D1" w:rsidRPr="00DB1A30">
        <w:t xml:space="preserve"> in H</w:t>
      </w:r>
      <w:r w:rsidR="007D37D1" w:rsidRPr="00DB1A30">
        <w:rPr>
          <w:vertAlign w:val="subscript"/>
        </w:rPr>
        <w:t>2</w:t>
      </w:r>
      <w:r w:rsidR="007D37D1" w:rsidRPr="00DB1A30">
        <w:t>SO</w:t>
      </w:r>
      <w:r w:rsidR="007D37D1" w:rsidRPr="00DB1A30">
        <w:rPr>
          <w:vertAlign w:val="subscript"/>
        </w:rPr>
        <w:t>4</w:t>
      </w:r>
      <w:r w:rsidR="007D37D1" w:rsidRPr="00DB1A30">
        <w:t xml:space="preserve"> to convert all phosphorus to phosphates (PO</w:t>
      </w:r>
      <w:r w:rsidR="007D37D1" w:rsidRPr="00DB1A30">
        <w:rPr>
          <w:vertAlign w:val="subscript"/>
        </w:rPr>
        <w:t>4</w:t>
      </w:r>
      <w:r w:rsidR="007D37D1" w:rsidRPr="00DB1A30">
        <w:t>) before PO</w:t>
      </w:r>
      <w:r w:rsidR="007D37D1" w:rsidRPr="00DB1A30">
        <w:rPr>
          <w:vertAlign w:val="subscript"/>
        </w:rPr>
        <w:t>4</w:t>
      </w:r>
      <w:r w:rsidR="007D37D1" w:rsidRPr="00DB1A30">
        <w:t xml:space="preserve"> determination. SO</w:t>
      </w:r>
      <w:r w:rsidR="007D37D1" w:rsidRPr="00DB1A30">
        <w:rPr>
          <w:vertAlign w:val="subscript"/>
        </w:rPr>
        <w:t>4</w:t>
      </w:r>
      <w:r w:rsidR="007D37D1" w:rsidRPr="00DB1A30">
        <w:rPr>
          <w:vertAlign w:val="superscript"/>
        </w:rPr>
        <w:t>2-</w:t>
      </w:r>
      <w:r w:rsidR="007D37D1" w:rsidRPr="00DB1A30">
        <w:t xml:space="preserve"> ion concentration was determined by the turbidity method by conversion to a barium </w:t>
      </w:r>
      <w:proofErr w:type="spellStart"/>
      <w:r w:rsidR="007D37D1" w:rsidRPr="00DB1A30">
        <w:t>sulfate</w:t>
      </w:r>
      <w:proofErr w:type="spellEnd"/>
      <w:r w:rsidR="007D37D1" w:rsidRPr="00DB1A30">
        <w:t xml:space="preserve"> suspension and spectrophotometric measurement relative to known standards (4500 SO</w:t>
      </w:r>
      <w:r w:rsidR="007D37D1" w:rsidRPr="00DB1A30">
        <w:rPr>
          <w:vertAlign w:val="subscript"/>
        </w:rPr>
        <w:t>4</w:t>
      </w:r>
      <w:r w:rsidR="007D37D1" w:rsidRPr="00DB1A30">
        <w:rPr>
          <w:vertAlign w:val="superscript"/>
        </w:rPr>
        <w:t>-2</w:t>
      </w:r>
      <w:r w:rsidR="007D37D1" w:rsidRPr="00DB1A30">
        <w:t xml:space="preserve"> E; APHA, 1912). </w:t>
      </w:r>
    </w:p>
    <w:p w14:paraId="1720CA80" w14:textId="1661B4E7" w:rsidR="007D37D1" w:rsidRPr="00385F42" w:rsidRDefault="007D37D1" w:rsidP="000F4891">
      <w:r w:rsidRPr="00DB1A30">
        <w:t xml:space="preserve">Chlorophyll and carotenoid pigments were extracted from filter papers at -4°C for 12 hours in acetone: methanol: water (80:15:5), followed by filtration through a PTFE 0.22μm filter, and evaporation under nitrogen gas. Dried extracts were then re-dissolved in a solution of (70:25:5) acetone, ion-pairing reagent (IPR; 0.75 g of tetrabutylammonium acetate and 7.7 g of ammonium acetate in 100 mL water) and methanol. Samples were separated and quantified using an Agilent 1200 series HPLC separation module, quaternary pump, with an ODS </w:t>
      </w:r>
      <w:proofErr w:type="spellStart"/>
      <w:r w:rsidRPr="00DB1A30">
        <w:t>Hypersil</w:t>
      </w:r>
      <w:proofErr w:type="spellEnd"/>
      <w:r w:rsidRPr="00DB1A30">
        <w:t xml:space="preserve"> column (205 × 4.6 mm; 5 </w:t>
      </w:r>
      <w:proofErr w:type="spellStart"/>
      <w:r w:rsidRPr="00DB1A30">
        <w:t>μm</w:t>
      </w:r>
      <w:proofErr w:type="spellEnd"/>
      <w:r w:rsidRPr="00DB1A30">
        <w:t xml:space="preserve"> particle size) and photo-diode array detector, using modification conditions of Chen et al. (Chen et al, 2002). Pigments were quantified using commercial standard calibrations (DHI, Denmark) and identified using absorbance spectra and retention times. Pigment concentrations are reported as nanomoles of pigment per </w:t>
      </w:r>
      <w:proofErr w:type="spellStart"/>
      <w:r w:rsidRPr="00DB1A30">
        <w:t>liter</w:t>
      </w:r>
      <w:proofErr w:type="spellEnd"/>
      <w:r w:rsidRPr="00DB1A30">
        <w:t xml:space="preserve"> of water filtered.</w:t>
      </w:r>
    </w:p>
    <w:p w14:paraId="515CA038" w14:textId="2A4AB5BE" w:rsidR="00C646A8" w:rsidRPr="00DB1A30" w:rsidRDefault="00C646A8" w:rsidP="00385F42">
      <w:pPr>
        <w:pStyle w:val="Heading1"/>
      </w:pPr>
      <w:r w:rsidRPr="00DB1A30">
        <w:lastRenderedPageBreak/>
        <w:t>Quality control</w:t>
      </w:r>
    </w:p>
    <w:p w14:paraId="380BF87C" w14:textId="6EFDE9B4" w:rsidR="00385F42" w:rsidRPr="00385F42" w:rsidRDefault="009E50D8" w:rsidP="00385F42">
      <w:r w:rsidRPr="00DB1A30">
        <w:t>The pH and oxygen electrodes were calibrated between sampling campaigns and the pH precision and accuracy was ±0.01. For colorimetric chemical analyses, calibration standards were run alongside each analysis.</w:t>
      </w:r>
      <w:r w:rsidR="00C62615" w:rsidRPr="00DB1A30">
        <w:t xml:space="preserve"> Pigment </w:t>
      </w:r>
      <w:r w:rsidR="007418E4" w:rsidRPr="00DB1A30">
        <w:t xml:space="preserve">concentrations were calculated from peak areas using an 8-point calibration with commercial standards and identifications were aided using an extract of grass to evaluate retention time drift of </w:t>
      </w:r>
      <w:proofErr w:type="spellStart"/>
      <w:r w:rsidR="007418E4" w:rsidRPr="00DB1A30">
        <w:t>Chl</w:t>
      </w:r>
      <w:proofErr w:type="spellEnd"/>
      <w:r w:rsidR="007418E4" w:rsidRPr="00DB1A30">
        <w:t xml:space="preserve"> a, </w:t>
      </w:r>
      <w:proofErr w:type="spellStart"/>
      <w:r w:rsidR="007418E4" w:rsidRPr="00DB1A30">
        <w:t>Chl</w:t>
      </w:r>
      <w:proofErr w:type="spellEnd"/>
      <w:r w:rsidR="007418E4" w:rsidRPr="00DB1A30">
        <w:t xml:space="preserve"> b and lutein. </w:t>
      </w:r>
    </w:p>
    <w:p w14:paraId="1F049167" w14:textId="4DFB2D76" w:rsidR="007A7253" w:rsidRPr="00DB1A30" w:rsidRDefault="00C646A8" w:rsidP="00385F42">
      <w:pPr>
        <w:pStyle w:val="Heading1"/>
      </w:pPr>
      <w:r w:rsidRPr="00DB1A30">
        <w:t>Details of data structure</w:t>
      </w:r>
      <w:r w:rsidR="007A7253" w:rsidRPr="00DB1A30">
        <w:t xml:space="preserve"> and units of recorded values</w:t>
      </w:r>
    </w:p>
    <w:p w14:paraId="409BF76C" w14:textId="489761AC" w:rsidR="00C646A8" w:rsidRDefault="00E5553A" w:rsidP="00385F42">
      <w:r w:rsidRPr="00DB1A30">
        <w:t xml:space="preserve">There are </w:t>
      </w:r>
      <w:r w:rsidR="00DB1A30" w:rsidRPr="00DB1A30">
        <w:t>4</w:t>
      </w:r>
      <w:r w:rsidRPr="00DB1A30">
        <w:t xml:space="preserve">4 columns of data </w:t>
      </w:r>
      <w:r w:rsidR="00DB1A30" w:rsidRPr="00DB1A30">
        <w:t>as described below</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50"/>
        <w:gridCol w:w="2831"/>
        <w:gridCol w:w="5245"/>
      </w:tblGrid>
      <w:tr w:rsidR="00493FCD" w:rsidRPr="00493FCD" w14:paraId="668CF26D" w14:textId="77777777" w:rsidTr="00730033">
        <w:trPr>
          <w:cantSplit/>
          <w:tblHeader/>
        </w:trPr>
        <w:tc>
          <w:tcPr>
            <w:tcW w:w="0" w:type="auto"/>
            <w:shd w:val="clear" w:color="auto" w:fill="F2F2F2" w:themeFill="background1" w:themeFillShade="F2"/>
            <w:noWrap/>
            <w:vAlign w:val="bottom"/>
            <w:hideMark/>
          </w:tcPr>
          <w:p w14:paraId="5993107E" w14:textId="77777777" w:rsidR="00493FCD" w:rsidRPr="00493FCD" w:rsidRDefault="00493FCD" w:rsidP="00493FCD">
            <w:pPr>
              <w:keepLines w:val="0"/>
              <w:spacing w:before="40" w:after="40" w:line="240" w:lineRule="auto"/>
              <w:rPr>
                <w:rFonts w:ascii="Calibri" w:hAnsi="Calibri" w:cs="Calibri"/>
                <w:b/>
                <w:bCs/>
                <w:color w:val="000000"/>
                <w:szCs w:val="22"/>
              </w:rPr>
            </w:pPr>
            <w:r w:rsidRPr="00493FCD">
              <w:rPr>
                <w:rFonts w:ascii="Calibri" w:hAnsi="Calibri" w:cs="Calibri"/>
                <w:b/>
                <w:bCs/>
                <w:szCs w:val="22"/>
                <w:lang w:val="nl-NL" w:eastAsia="nl-NL"/>
              </w:rPr>
              <w:t>Col no.</w:t>
            </w:r>
          </w:p>
        </w:tc>
        <w:tc>
          <w:tcPr>
            <w:tcW w:w="2831" w:type="dxa"/>
            <w:shd w:val="clear" w:color="auto" w:fill="F2F2F2" w:themeFill="background1" w:themeFillShade="F2"/>
            <w:noWrap/>
            <w:vAlign w:val="bottom"/>
            <w:hideMark/>
          </w:tcPr>
          <w:p w14:paraId="79EC992C" w14:textId="77777777" w:rsidR="00493FCD" w:rsidRPr="00493FCD" w:rsidRDefault="00493FCD" w:rsidP="00493FCD">
            <w:pPr>
              <w:keepLines w:val="0"/>
              <w:spacing w:before="40" w:after="40" w:line="240" w:lineRule="auto"/>
              <w:rPr>
                <w:rFonts w:ascii="Calibri" w:hAnsi="Calibri" w:cs="Calibri"/>
                <w:b/>
                <w:bCs/>
                <w:color w:val="000000"/>
                <w:szCs w:val="22"/>
              </w:rPr>
            </w:pPr>
            <w:r w:rsidRPr="00493FCD">
              <w:rPr>
                <w:rFonts w:ascii="Calibri" w:hAnsi="Calibri" w:cs="Calibri"/>
                <w:b/>
                <w:bCs/>
                <w:szCs w:val="22"/>
              </w:rPr>
              <w:t>Col name</w:t>
            </w:r>
          </w:p>
        </w:tc>
        <w:tc>
          <w:tcPr>
            <w:tcW w:w="5245" w:type="dxa"/>
            <w:shd w:val="clear" w:color="auto" w:fill="F2F2F2" w:themeFill="background1" w:themeFillShade="F2"/>
            <w:noWrap/>
            <w:vAlign w:val="bottom"/>
            <w:hideMark/>
          </w:tcPr>
          <w:p w14:paraId="04BD204E" w14:textId="77777777" w:rsidR="00493FCD" w:rsidRPr="00493FCD" w:rsidRDefault="00493FCD" w:rsidP="00493FCD">
            <w:pPr>
              <w:keepLines w:val="0"/>
              <w:spacing w:before="40" w:after="40" w:line="240" w:lineRule="auto"/>
              <w:rPr>
                <w:rFonts w:ascii="Calibri" w:hAnsi="Calibri" w:cs="Calibri"/>
                <w:b/>
                <w:bCs/>
                <w:color w:val="000000"/>
                <w:szCs w:val="22"/>
              </w:rPr>
            </w:pPr>
            <w:r w:rsidRPr="00493FCD">
              <w:rPr>
                <w:rFonts w:ascii="Calibri" w:hAnsi="Calibri" w:cs="Calibri"/>
                <w:b/>
                <w:bCs/>
                <w:szCs w:val="22"/>
                <w:lang w:val="nl-NL" w:eastAsia="nl-NL"/>
              </w:rPr>
              <w:t>Description</w:t>
            </w:r>
          </w:p>
        </w:tc>
      </w:tr>
      <w:tr w:rsidR="00493FCD" w:rsidRPr="00493FCD" w14:paraId="7639EDE6" w14:textId="77777777" w:rsidTr="00730033">
        <w:trPr>
          <w:cantSplit/>
        </w:trPr>
        <w:tc>
          <w:tcPr>
            <w:tcW w:w="0" w:type="auto"/>
            <w:shd w:val="clear" w:color="auto" w:fill="auto"/>
            <w:noWrap/>
            <w:hideMark/>
          </w:tcPr>
          <w:p w14:paraId="483D323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w:t>
            </w:r>
          </w:p>
        </w:tc>
        <w:tc>
          <w:tcPr>
            <w:tcW w:w="2831" w:type="dxa"/>
            <w:shd w:val="clear" w:color="auto" w:fill="auto"/>
            <w:noWrap/>
            <w:hideMark/>
          </w:tcPr>
          <w:p w14:paraId="6EBD248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Site name</w:t>
            </w:r>
          </w:p>
        </w:tc>
        <w:tc>
          <w:tcPr>
            <w:tcW w:w="5245" w:type="dxa"/>
            <w:shd w:val="clear" w:color="auto" w:fill="auto"/>
            <w:noWrap/>
            <w:hideMark/>
          </w:tcPr>
          <w:p w14:paraId="69301F9E"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Common name of location</w:t>
            </w:r>
          </w:p>
        </w:tc>
      </w:tr>
      <w:tr w:rsidR="00493FCD" w:rsidRPr="00493FCD" w14:paraId="339E3D13" w14:textId="77777777" w:rsidTr="00730033">
        <w:trPr>
          <w:cantSplit/>
        </w:trPr>
        <w:tc>
          <w:tcPr>
            <w:tcW w:w="0" w:type="auto"/>
            <w:shd w:val="clear" w:color="auto" w:fill="auto"/>
            <w:noWrap/>
            <w:hideMark/>
          </w:tcPr>
          <w:p w14:paraId="27689A4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w:t>
            </w:r>
          </w:p>
        </w:tc>
        <w:tc>
          <w:tcPr>
            <w:tcW w:w="2831" w:type="dxa"/>
            <w:shd w:val="clear" w:color="auto" w:fill="auto"/>
            <w:noWrap/>
            <w:hideMark/>
          </w:tcPr>
          <w:p w14:paraId="72F343D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Site code</w:t>
            </w:r>
          </w:p>
        </w:tc>
        <w:tc>
          <w:tcPr>
            <w:tcW w:w="5245" w:type="dxa"/>
            <w:shd w:val="clear" w:color="auto" w:fill="auto"/>
            <w:noWrap/>
            <w:hideMark/>
          </w:tcPr>
          <w:p w14:paraId="797FB70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H and D codes assigned to each site</w:t>
            </w:r>
          </w:p>
        </w:tc>
      </w:tr>
      <w:tr w:rsidR="00493FCD" w:rsidRPr="00493FCD" w14:paraId="10AE33CF" w14:textId="77777777" w:rsidTr="00730033">
        <w:trPr>
          <w:cantSplit/>
        </w:trPr>
        <w:tc>
          <w:tcPr>
            <w:tcW w:w="0" w:type="auto"/>
            <w:shd w:val="clear" w:color="auto" w:fill="auto"/>
            <w:noWrap/>
            <w:hideMark/>
          </w:tcPr>
          <w:p w14:paraId="5899C32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w:t>
            </w:r>
          </w:p>
        </w:tc>
        <w:tc>
          <w:tcPr>
            <w:tcW w:w="2831" w:type="dxa"/>
            <w:shd w:val="clear" w:color="auto" w:fill="auto"/>
            <w:noWrap/>
            <w:hideMark/>
          </w:tcPr>
          <w:p w14:paraId="1DE1041E"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Date </w:t>
            </w:r>
          </w:p>
        </w:tc>
        <w:tc>
          <w:tcPr>
            <w:tcW w:w="5245" w:type="dxa"/>
            <w:shd w:val="clear" w:color="auto" w:fill="auto"/>
            <w:noWrap/>
            <w:hideMark/>
          </w:tcPr>
          <w:p w14:paraId="5C67AEE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In text format dd-mm-</w:t>
            </w:r>
            <w:proofErr w:type="spellStart"/>
            <w:r w:rsidRPr="00493FCD">
              <w:rPr>
                <w:rFonts w:ascii="Calibri" w:hAnsi="Calibri" w:cs="Calibri"/>
                <w:color w:val="000000"/>
                <w:szCs w:val="22"/>
                <w:lang w:val="en-US" w:eastAsia="nl-NL"/>
              </w:rPr>
              <w:t>yyyy</w:t>
            </w:r>
            <w:proofErr w:type="spellEnd"/>
          </w:p>
        </w:tc>
      </w:tr>
      <w:tr w:rsidR="00493FCD" w:rsidRPr="00493FCD" w14:paraId="3A494737" w14:textId="77777777" w:rsidTr="00730033">
        <w:trPr>
          <w:cantSplit/>
        </w:trPr>
        <w:tc>
          <w:tcPr>
            <w:tcW w:w="0" w:type="auto"/>
            <w:shd w:val="clear" w:color="auto" w:fill="auto"/>
            <w:noWrap/>
            <w:hideMark/>
          </w:tcPr>
          <w:p w14:paraId="060635C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w:t>
            </w:r>
          </w:p>
        </w:tc>
        <w:tc>
          <w:tcPr>
            <w:tcW w:w="2831" w:type="dxa"/>
            <w:shd w:val="clear" w:color="auto" w:fill="auto"/>
            <w:noWrap/>
            <w:hideMark/>
          </w:tcPr>
          <w:p w14:paraId="374A329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Date (formatted)</w:t>
            </w:r>
          </w:p>
        </w:tc>
        <w:tc>
          <w:tcPr>
            <w:tcW w:w="5245" w:type="dxa"/>
            <w:shd w:val="clear" w:color="auto" w:fill="auto"/>
            <w:noWrap/>
            <w:hideMark/>
          </w:tcPr>
          <w:p w14:paraId="3483AB2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In date format dd-mm-</w:t>
            </w:r>
            <w:proofErr w:type="spellStart"/>
            <w:r w:rsidRPr="00493FCD">
              <w:rPr>
                <w:rFonts w:ascii="Calibri" w:hAnsi="Calibri" w:cs="Calibri"/>
                <w:color w:val="000000"/>
                <w:szCs w:val="22"/>
                <w:lang w:val="en-US" w:eastAsia="nl-NL"/>
              </w:rPr>
              <w:t>yyyy</w:t>
            </w:r>
            <w:proofErr w:type="spellEnd"/>
          </w:p>
        </w:tc>
      </w:tr>
      <w:tr w:rsidR="00493FCD" w:rsidRPr="00493FCD" w14:paraId="1D849FC0" w14:textId="77777777" w:rsidTr="00730033">
        <w:trPr>
          <w:cantSplit/>
        </w:trPr>
        <w:tc>
          <w:tcPr>
            <w:tcW w:w="0" w:type="auto"/>
            <w:shd w:val="clear" w:color="auto" w:fill="auto"/>
            <w:noWrap/>
            <w:hideMark/>
          </w:tcPr>
          <w:p w14:paraId="283DD93B"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5</w:t>
            </w:r>
          </w:p>
        </w:tc>
        <w:tc>
          <w:tcPr>
            <w:tcW w:w="2831" w:type="dxa"/>
            <w:shd w:val="clear" w:color="auto" w:fill="auto"/>
            <w:noWrap/>
            <w:hideMark/>
          </w:tcPr>
          <w:p w14:paraId="67C3748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Month</w:t>
            </w:r>
          </w:p>
        </w:tc>
        <w:tc>
          <w:tcPr>
            <w:tcW w:w="5245" w:type="dxa"/>
            <w:shd w:val="clear" w:color="auto" w:fill="auto"/>
            <w:noWrap/>
            <w:hideMark/>
          </w:tcPr>
          <w:p w14:paraId="5059BBC0"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Month in the calendar year (1-12)</w:t>
            </w:r>
          </w:p>
        </w:tc>
      </w:tr>
      <w:tr w:rsidR="00493FCD" w:rsidRPr="00493FCD" w14:paraId="432C207A" w14:textId="77777777" w:rsidTr="00730033">
        <w:trPr>
          <w:cantSplit/>
        </w:trPr>
        <w:tc>
          <w:tcPr>
            <w:tcW w:w="0" w:type="auto"/>
            <w:shd w:val="clear" w:color="auto" w:fill="auto"/>
            <w:noWrap/>
            <w:hideMark/>
          </w:tcPr>
          <w:p w14:paraId="03F14AE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6</w:t>
            </w:r>
          </w:p>
        </w:tc>
        <w:tc>
          <w:tcPr>
            <w:tcW w:w="2831" w:type="dxa"/>
            <w:shd w:val="clear" w:color="auto" w:fill="auto"/>
            <w:noWrap/>
            <w:hideMark/>
          </w:tcPr>
          <w:p w14:paraId="5AD3B56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Year</w:t>
            </w:r>
          </w:p>
        </w:tc>
        <w:tc>
          <w:tcPr>
            <w:tcW w:w="5245" w:type="dxa"/>
            <w:shd w:val="clear" w:color="auto" w:fill="auto"/>
            <w:noWrap/>
            <w:hideMark/>
          </w:tcPr>
          <w:p w14:paraId="06E2BAF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Year of sampling</w:t>
            </w:r>
          </w:p>
        </w:tc>
      </w:tr>
      <w:tr w:rsidR="00493FCD" w:rsidRPr="00493FCD" w14:paraId="7D506917" w14:textId="77777777" w:rsidTr="00730033">
        <w:trPr>
          <w:cantSplit/>
        </w:trPr>
        <w:tc>
          <w:tcPr>
            <w:tcW w:w="0" w:type="auto"/>
            <w:shd w:val="clear" w:color="auto" w:fill="auto"/>
            <w:noWrap/>
            <w:hideMark/>
          </w:tcPr>
          <w:p w14:paraId="0EE6B460"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7</w:t>
            </w:r>
          </w:p>
        </w:tc>
        <w:tc>
          <w:tcPr>
            <w:tcW w:w="2831" w:type="dxa"/>
            <w:shd w:val="clear" w:color="auto" w:fill="auto"/>
            <w:noWrap/>
            <w:hideMark/>
          </w:tcPr>
          <w:p w14:paraId="43A2885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Season</w:t>
            </w:r>
          </w:p>
        </w:tc>
        <w:tc>
          <w:tcPr>
            <w:tcW w:w="5245" w:type="dxa"/>
            <w:shd w:val="clear" w:color="auto" w:fill="auto"/>
            <w:noWrap/>
            <w:hideMark/>
          </w:tcPr>
          <w:p w14:paraId="4D56282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WET/DRY</w:t>
            </w:r>
          </w:p>
        </w:tc>
      </w:tr>
      <w:tr w:rsidR="00493FCD" w:rsidRPr="00493FCD" w14:paraId="694AE1F5" w14:textId="77777777" w:rsidTr="00730033">
        <w:trPr>
          <w:cantSplit/>
        </w:trPr>
        <w:tc>
          <w:tcPr>
            <w:tcW w:w="0" w:type="auto"/>
            <w:shd w:val="clear" w:color="auto" w:fill="auto"/>
            <w:noWrap/>
            <w:hideMark/>
          </w:tcPr>
          <w:p w14:paraId="10DC854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8</w:t>
            </w:r>
          </w:p>
        </w:tc>
        <w:tc>
          <w:tcPr>
            <w:tcW w:w="2831" w:type="dxa"/>
            <w:shd w:val="clear" w:color="auto" w:fill="auto"/>
            <w:noWrap/>
            <w:hideMark/>
          </w:tcPr>
          <w:p w14:paraId="76F1BA40"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Lattitude</w:t>
            </w:r>
            <w:proofErr w:type="spellEnd"/>
          </w:p>
        </w:tc>
        <w:tc>
          <w:tcPr>
            <w:tcW w:w="5245" w:type="dxa"/>
            <w:shd w:val="clear" w:color="auto" w:fill="auto"/>
            <w:noWrap/>
            <w:hideMark/>
          </w:tcPr>
          <w:p w14:paraId="328311B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Decimal degrees N</w:t>
            </w:r>
          </w:p>
        </w:tc>
      </w:tr>
      <w:tr w:rsidR="00493FCD" w:rsidRPr="00493FCD" w14:paraId="7AB63AA9" w14:textId="77777777" w:rsidTr="00730033">
        <w:trPr>
          <w:cantSplit/>
        </w:trPr>
        <w:tc>
          <w:tcPr>
            <w:tcW w:w="0" w:type="auto"/>
            <w:shd w:val="clear" w:color="auto" w:fill="auto"/>
            <w:noWrap/>
            <w:hideMark/>
          </w:tcPr>
          <w:p w14:paraId="78CB5D5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9</w:t>
            </w:r>
          </w:p>
        </w:tc>
        <w:tc>
          <w:tcPr>
            <w:tcW w:w="2831" w:type="dxa"/>
            <w:shd w:val="clear" w:color="auto" w:fill="auto"/>
            <w:noWrap/>
            <w:hideMark/>
          </w:tcPr>
          <w:p w14:paraId="2CC92E5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Longitude</w:t>
            </w:r>
          </w:p>
        </w:tc>
        <w:tc>
          <w:tcPr>
            <w:tcW w:w="5245" w:type="dxa"/>
            <w:shd w:val="clear" w:color="auto" w:fill="auto"/>
            <w:noWrap/>
            <w:hideMark/>
          </w:tcPr>
          <w:p w14:paraId="3D04C2E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Decimal degrees E</w:t>
            </w:r>
          </w:p>
        </w:tc>
      </w:tr>
      <w:tr w:rsidR="00493FCD" w:rsidRPr="00493FCD" w14:paraId="6BFCB800" w14:textId="77777777" w:rsidTr="00730033">
        <w:trPr>
          <w:cantSplit/>
        </w:trPr>
        <w:tc>
          <w:tcPr>
            <w:tcW w:w="0" w:type="auto"/>
            <w:shd w:val="clear" w:color="auto" w:fill="auto"/>
            <w:noWrap/>
            <w:hideMark/>
          </w:tcPr>
          <w:p w14:paraId="3BF5535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10</w:t>
            </w:r>
          </w:p>
        </w:tc>
        <w:tc>
          <w:tcPr>
            <w:tcW w:w="2831" w:type="dxa"/>
            <w:shd w:val="clear" w:color="auto" w:fill="auto"/>
            <w:noWrap/>
            <w:hideMark/>
          </w:tcPr>
          <w:p w14:paraId="4D8A0FE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Time</w:t>
            </w:r>
          </w:p>
        </w:tc>
        <w:tc>
          <w:tcPr>
            <w:tcW w:w="5245" w:type="dxa"/>
            <w:shd w:val="clear" w:color="auto" w:fill="auto"/>
            <w:noWrap/>
            <w:hideMark/>
          </w:tcPr>
          <w:p w14:paraId="4490398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 xml:space="preserve">Time of sampling </w:t>
            </w:r>
            <w:proofErr w:type="spellStart"/>
            <w:r w:rsidRPr="00493FCD">
              <w:rPr>
                <w:rFonts w:ascii="Calibri" w:hAnsi="Calibri" w:cs="Calibri"/>
                <w:color w:val="000000"/>
                <w:szCs w:val="22"/>
                <w:lang w:val="en-US" w:eastAsia="nl-NL"/>
              </w:rPr>
              <w:t>hhmm</w:t>
            </w:r>
            <w:proofErr w:type="spellEnd"/>
          </w:p>
        </w:tc>
      </w:tr>
      <w:tr w:rsidR="00493FCD" w:rsidRPr="00493FCD" w14:paraId="3D0FA8E0" w14:textId="77777777" w:rsidTr="00730033">
        <w:trPr>
          <w:cantSplit/>
        </w:trPr>
        <w:tc>
          <w:tcPr>
            <w:tcW w:w="0" w:type="auto"/>
            <w:shd w:val="clear" w:color="auto" w:fill="auto"/>
            <w:noWrap/>
            <w:hideMark/>
          </w:tcPr>
          <w:p w14:paraId="592BD9C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11</w:t>
            </w:r>
          </w:p>
        </w:tc>
        <w:tc>
          <w:tcPr>
            <w:tcW w:w="2831" w:type="dxa"/>
            <w:shd w:val="clear" w:color="auto" w:fill="auto"/>
            <w:noWrap/>
            <w:hideMark/>
          </w:tcPr>
          <w:p w14:paraId="024E71D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T-C</w:t>
            </w:r>
          </w:p>
        </w:tc>
        <w:tc>
          <w:tcPr>
            <w:tcW w:w="5245" w:type="dxa"/>
            <w:shd w:val="clear" w:color="auto" w:fill="auto"/>
            <w:noWrap/>
            <w:hideMark/>
          </w:tcPr>
          <w:p w14:paraId="1672616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Temperature °C</w:t>
            </w:r>
          </w:p>
        </w:tc>
      </w:tr>
      <w:tr w:rsidR="00493FCD" w:rsidRPr="00493FCD" w14:paraId="3D0E534E" w14:textId="77777777" w:rsidTr="00730033">
        <w:trPr>
          <w:cantSplit/>
        </w:trPr>
        <w:tc>
          <w:tcPr>
            <w:tcW w:w="0" w:type="auto"/>
            <w:shd w:val="clear" w:color="auto" w:fill="auto"/>
            <w:noWrap/>
            <w:hideMark/>
          </w:tcPr>
          <w:p w14:paraId="1CCE7EE8"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12</w:t>
            </w:r>
          </w:p>
        </w:tc>
        <w:tc>
          <w:tcPr>
            <w:tcW w:w="2831" w:type="dxa"/>
            <w:shd w:val="clear" w:color="auto" w:fill="auto"/>
            <w:noWrap/>
            <w:hideMark/>
          </w:tcPr>
          <w:p w14:paraId="38E7427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DO mgO2/l</w:t>
            </w:r>
          </w:p>
        </w:tc>
        <w:tc>
          <w:tcPr>
            <w:tcW w:w="5245" w:type="dxa"/>
            <w:shd w:val="clear" w:color="auto" w:fill="auto"/>
            <w:noWrap/>
            <w:hideMark/>
          </w:tcPr>
          <w:p w14:paraId="1AEE250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Dissolved oxygen in mg/L</w:t>
            </w:r>
          </w:p>
        </w:tc>
      </w:tr>
      <w:tr w:rsidR="00493FCD" w:rsidRPr="00493FCD" w14:paraId="147AF9ED" w14:textId="77777777" w:rsidTr="00730033">
        <w:trPr>
          <w:cantSplit/>
        </w:trPr>
        <w:tc>
          <w:tcPr>
            <w:tcW w:w="0" w:type="auto"/>
            <w:shd w:val="clear" w:color="auto" w:fill="auto"/>
            <w:noWrap/>
            <w:hideMark/>
          </w:tcPr>
          <w:p w14:paraId="699EBD2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13</w:t>
            </w:r>
          </w:p>
        </w:tc>
        <w:tc>
          <w:tcPr>
            <w:tcW w:w="2831" w:type="dxa"/>
            <w:shd w:val="clear" w:color="auto" w:fill="auto"/>
            <w:noWrap/>
            <w:hideMark/>
          </w:tcPr>
          <w:p w14:paraId="09CBC85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Sal ppt</w:t>
            </w:r>
          </w:p>
        </w:tc>
        <w:tc>
          <w:tcPr>
            <w:tcW w:w="5245" w:type="dxa"/>
            <w:shd w:val="clear" w:color="auto" w:fill="auto"/>
            <w:noWrap/>
            <w:hideMark/>
          </w:tcPr>
          <w:p w14:paraId="69D110B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Salinity (ppt)</w:t>
            </w:r>
          </w:p>
        </w:tc>
      </w:tr>
      <w:tr w:rsidR="00493FCD" w:rsidRPr="00493FCD" w14:paraId="31EDACCC" w14:textId="77777777" w:rsidTr="00730033">
        <w:trPr>
          <w:cantSplit/>
        </w:trPr>
        <w:tc>
          <w:tcPr>
            <w:tcW w:w="0" w:type="auto"/>
            <w:shd w:val="clear" w:color="auto" w:fill="auto"/>
            <w:noWrap/>
            <w:hideMark/>
          </w:tcPr>
          <w:p w14:paraId="4CD2AA7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14</w:t>
            </w:r>
          </w:p>
        </w:tc>
        <w:tc>
          <w:tcPr>
            <w:tcW w:w="2831" w:type="dxa"/>
            <w:shd w:val="clear" w:color="auto" w:fill="auto"/>
            <w:noWrap/>
            <w:hideMark/>
          </w:tcPr>
          <w:p w14:paraId="48E2D8B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pH</w:t>
            </w:r>
          </w:p>
        </w:tc>
        <w:tc>
          <w:tcPr>
            <w:tcW w:w="5245" w:type="dxa"/>
            <w:shd w:val="clear" w:color="auto" w:fill="auto"/>
            <w:noWrap/>
            <w:hideMark/>
          </w:tcPr>
          <w:p w14:paraId="419FFE5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pH units</w:t>
            </w:r>
          </w:p>
        </w:tc>
      </w:tr>
      <w:tr w:rsidR="00493FCD" w:rsidRPr="00493FCD" w14:paraId="4942C89E" w14:textId="77777777" w:rsidTr="00730033">
        <w:trPr>
          <w:cantSplit/>
        </w:trPr>
        <w:tc>
          <w:tcPr>
            <w:tcW w:w="0" w:type="auto"/>
            <w:shd w:val="clear" w:color="auto" w:fill="auto"/>
            <w:noWrap/>
            <w:hideMark/>
          </w:tcPr>
          <w:p w14:paraId="060AC96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15</w:t>
            </w:r>
          </w:p>
        </w:tc>
        <w:tc>
          <w:tcPr>
            <w:tcW w:w="2831" w:type="dxa"/>
            <w:shd w:val="clear" w:color="auto" w:fill="auto"/>
            <w:noWrap/>
            <w:hideMark/>
          </w:tcPr>
          <w:p w14:paraId="66DC5BB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Turbidity NTU</w:t>
            </w:r>
          </w:p>
        </w:tc>
        <w:tc>
          <w:tcPr>
            <w:tcW w:w="5245" w:type="dxa"/>
            <w:shd w:val="clear" w:color="auto" w:fill="auto"/>
            <w:noWrap/>
            <w:hideMark/>
          </w:tcPr>
          <w:p w14:paraId="2EB74E4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Nephelometric turbidity units (NTU)</w:t>
            </w:r>
          </w:p>
        </w:tc>
      </w:tr>
      <w:tr w:rsidR="00493FCD" w:rsidRPr="00493FCD" w14:paraId="79ED98C9" w14:textId="77777777" w:rsidTr="00730033">
        <w:trPr>
          <w:cantSplit/>
        </w:trPr>
        <w:tc>
          <w:tcPr>
            <w:tcW w:w="0" w:type="auto"/>
            <w:shd w:val="clear" w:color="auto" w:fill="auto"/>
            <w:noWrap/>
            <w:hideMark/>
          </w:tcPr>
          <w:p w14:paraId="2217328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16</w:t>
            </w:r>
          </w:p>
        </w:tc>
        <w:tc>
          <w:tcPr>
            <w:tcW w:w="2831" w:type="dxa"/>
            <w:shd w:val="clear" w:color="auto" w:fill="auto"/>
            <w:noWrap/>
            <w:hideMark/>
          </w:tcPr>
          <w:p w14:paraId="6EFA832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Conductivity </w:t>
            </w:r>
            <w:proofErr w:type="spellStart"/>
            <w:r w:rsidRPr="00493FCD">
              <w:rPr>
                <w:rFonts w:ascii="Calibri" w:hAnsi="Calibri" w:cs="Calibri"/>
                <w:color w:val="000000"/>
                <w:szCs w:val="22"/>
              </w:rPr>
              <w:t>uS</w:t>
            </w:r>
            <w:proofErr w:type="spellEnd"/>
            <w:r w:rsidRPr="00493FCD">
              <w:rPr>
                <w:rFonts w:ascii="Calibri" w:hAnsi="Calibri" w:cs="Calibri"/>
                <w:color w:val="000000"/>
                <w:szCs w:val="22"/>
              </w:rPr>
              <w:t>/cm</w:t>
            </w:r>
          </w:p>
        </w:tc>
        <w:tc>
          <w:tcPr>
            <w:tcW w:w="5245" w:type="dxa"/>
            <w:shd w:val="clear" w:color="auto" w:fill="auto"/>
            <w:noWrap/>
            <w:hideMark/>
          </w:tcPr>
          <w:p w14:paraId="1B85DFF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Specific conductivity in µS/cm</w:t>
            </w:r>
          </w:p>
        </w:tc>
      </w:tr>
      <w:tr w:rsidR="00493FCD" w:rsidRPr="00493FCD" w14:paraId="1E3D708C" w14:textId="77777777" w:rsidTr="00730033">
        <w:trPr>
          <w:cantSplit/>
        </w:trPr>
        <w:tc>
          <w:tcPr>
            <w:tcW w:w="0" w:type="auto"/>
            <w:shd w:val="clear" w:color="auto" w:fill="auto"/>
            <w:noWrap/>
            <w:hideMark/>
          </w:tcPr>
          <w:p w14:paraId="2B0B4E9B"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17</w:t>
            </w:r>
          </w:p>
        </w:tc>
        <w:tc>
          <w:tcPr>
            <w:tcW w:w="2831" w:type="dxa"/>
            <w:shd w:val="clear" w:color="auto" w:fill="auto"/>
            <w:noWrap/>
            <w:hideMark/>
          </w:tcPr>
          <w:p w14:paraId="6BD36640"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TDS mg/l</w:t>
            </w:r>
          </w:p>
        </w:tc>
        <w:tc>
          <w:tcPr>
            <w:tcW w:w="5245" w:type="dxa"/>
            <w:shd w:val="clear" w:color="auto" w:fill="auto"/>
            <w:noWrap/>
            <w:hideMark/>
          </w:tcPr>
          <w:p w14:paraId="28068C3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Total dissolved solids in g/L</w:t>
            </w:r>
          </w:p>
        </w:tc>
      </w:tr>
      <w:tr w:rsidR="00493FCD" w:rsidRPr="00493FCD" w14:paraId="747FECA9" w14:textId="77777777" w:rsidTr="00730033">
        <w:trPr>
          <w:cantSplit/>
        </w:trPr>
        <w:tc>
          <w:tcPr>
            <w:tcW w:w="0" w:type="auto"/>
            <w:shd w:val="clear" w:color="auto" w:fill="auto"/>
            <w:noWrap/>
            <w:hideMark/>
          </w:tcPr>
          <w:p w14:paraId="3613738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18</w:t>
            </w:r>
          </w:p>
        </w:tc>
        <w:tc>
          <w:tcPr>
            <w:tcW w:w="2831" w:type="dxa"/>
            <w:shd w:val="clear" w:color="auto" w:fill="auto"/>
            <w:noWrap/>
            <w:hideMark/>
          </w:tcPr>
          <w:p w14:paraId="2344565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NO3-N </w:t>
            </w:r>
            <w:proofErr w:type="spellStart"/>
            <w:r w:rsidRPr="00493FCD">
              <w:rPr>
                <w:rFonts w:ascii="Calibri" w:hAnsi="Calibri" w:cs="Calibri"/>
                <w:color w:val="000000"/>
                <w:szCs w:val="22"/>
              </w:rPr>
              <w:t>mgN</w:t>
            </w:r>
            <w:proofErr w:type="spellEnd"/>
            <w:r w:rsidRPr="00493FCD">
              <w:rPr>
                <w:rFonts w:ascii="Calibri" w:hAnsi="Calibri" w:cs="Calibri"/>
                <w:color w:val="000000"/>
                <w:szCs w:val="22"/>
              </w:rPr>
              <w:t>/l</w:t>
            </w:r>
          </w:p>
        </w:tc>
        <w:tc>
          <w:tcPr>
            <w:tcW w:w="5245" w:type="dxa"/>
            <w:shd w:val="clear" w:color="auto" w:fill="auto"/>
            <w:noWrap/>
            <w:hideMark/>
          </w:tcPr>
          <w:p w14:paraId="0FB02B7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Nitrate as N in mg/L</w:t>
            </w:r>
          </w:p>
        </w:tc>
      </w:tr>
      <w:tr w:rsidR="00493FCD" w:rsidRPr="00493FCD" w14:paraId="0B84717C" w14:textId="77777777" w:rsidTr="00730033">
        <w:trPr>
          <w:cantSplit/>
        </w:trPr>
        <w:tc>
          <w:tcPr>
            <w:tcW w:w="0" w:type="auto"/>
            <w:shd w:val="clear" w:color="auto" w:fill="auto"/>
            <w:noWrap/>
            <w:hideMark/>
          </w:tcPr>
          <w:p w14:paraId="6AA7025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19</w:t>
            </w:r>
          </w:p>
        </w:tc>
        <w:tc>
          <w:tcPr>
            <w:tcW w:w="2831" w:type="dxa"/>
            <w:shd w:val="clear" w:color="auto" w:fill="auto"/>
            <w:noWrap/>
            <w:hideMark/>
          </w:tcPr>
          <w:p w14:paraId="2411694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NO2-N </w:t>
            </w:r>
            <w:proofErr w:type="spellStart"/>
            <w:r w:rsidRPr="00493FCD">
              <w:rPr>
                <w:rFonts w:ascii="Calibri" w:hAnsi="Calibri" w:cs="Calibri"/>
                <w:color w:val="000000"/>
                <w:szCs w:val="22"/>
              </w:rPr>
              <w:t>mgN</w:t>
            </w:r>
            <w:proofErr w:type="spellEnd"/>
            <w:r w:rsidRPr="00493FCD">
              <w:rPr>
                <w:rFonts w:ascii="Calibri" w:hAnsi="Calibri" w:cs="Calibri"/>
                <w:color w:val="000000"/>
                <w:szCs w:val="22"/>
              </w:rPr>
              <w:t>/l</w:t>
            </w:r>
          </w:p>
        </w:tc>
        <w:tc>
          <w:tcPr>
            <w:tcW w:w="5245" w:type="dxa"/>
            <w:shd w:val="clear" w:color="auto" w:fill="auto"/>
            <w:noWrap/>
            <w:hideMark/>
          </w:tcPr>
          <w:p w14:paraId="4B014A1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Nitrite as N in mg/L</w:t>
            </w:r>
          </w:p>
        </w:tc>
      </w:tr>
      <w:tr w:rsidR="00493FCD" w:rsidRPr="00493FCD" w14:paraId="054A7CC0" w14:textId="77777777" w:rsidTr="00730033">
        <w:trPr>
          <w:cantSplit/>
        </w:trPr>
        <w:tc>
          <w:tcPr>
            <w:tcW w:w="0" w:type="auto"/>
            <w:shd w:val="clear" w:color="auto" w:fill="auto"/>
            <w:noWrap/>
            <w:hideMark/>
          </w:tcPr>
          <w:p w14:paraId="730251B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20</w:t>
            </w:r>
          </w:p>
        </w:tc>
        <w:tc>
          <w:tcPr>
            <w:tcW w:w="2831" w:type="dxa"/>
            <w:shd w:val="clear" w:color="auto" w:fill="auto"/>
            <w:noWrap/>
            <w:hideMark/>
          </w:tcPr>
          <w:p w14:paraId="3B052DF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NH4-N </w:t>
            </w:r>
            <w:proofErr w:type="spellStart"/>
            <w:r w:rsidRPr="00493FCD">
              <w:rPr>
                <w:rFonts w:ascii="Calibri" w:hAnsi="Calibri" w:cs="Calibri"/>
                <w:color w:val="000000"/>
                <w:szCs w:val="22"/>
              </w:rPr>
              <w:t>mgN</w:t>
            </w:r>
            <w:proofErr w:type="spellEnd"/>
            <w:r w:rsidRPr="00493FCD">
              <w:rPr>
                <w:rFonts w:ascii="Calibri" w:hAnsi="Calibri" w:cs="Calibri"/>
                <w:color w:val="000000"/>
                <w:szCs w:val="22"/>
              </w:rPr>
              <w:t>/l</w:t>
            </w:r>
          </w:p>
        </w:tc>
        <w:tc>
          <w:tcPr>
            <w:tcW w:w="5245" w:type="dxa"/>
            <w:shd w:val="clear" w:color="auto" w:fill="auto"/>
            <w:noWrap/>
            <w:hideMark/>
          </w:tcPr>
          <w:p w14:paraId="50C088B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Ammonium as N in mg/L</w:t>
            </w:r>
          </w:p>
        </w:tc>
      </w:tr>
      <w:tr w:rsidR="00493FCD" w:rsidRPr="00493FCD" w14:paraId="0ECC5B3B" w14:textId="77777777" w:rsidTr="00730033">
        <w:trPr>
          <w:cantSplit/>
        </w:trPr>
        <w:tc>
          <w:tcPr>
            <w:tcW w:w="0" w:type="auto"/>
            <w:shd w:val="clear" w:color="auto" w:fill="auto"/>
            <w:noWrap/>
            <w:hideMark/>
          </w:tcPr>
          <w:p w14:paraId="15A08D2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21</w:t>
            </w:r>
          </w:p>
        </w:tc>
        <w:tc>
          <w:tcPr>
            <w:tcW w:w="2831" w:type="dxa"/>
            <w:shd w:val="clear" w:color="auto" w:fill="auto"/>
            <w:noWrap/>
            <w:hideMark/>
          </w:tcPr>
          <w:p w14:paraId="4B548609"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Ntot</w:t>
            </w:r>
            <w:proofErr w:type="spellEnd"/>
            <w:r w:rsidRPr="00493FCD">
              <w:rPr>
                <w:rFonts w:ascii="Calibri" w:hAnsi="Calibri" w:cs="Calibri"/>
                <w:color w:val="000000"/>
                <w:szCs w:val="22"/>
              </w:rPr>
              <w:t xml:space="preserve"> </w:t>
            </w:r>
            <w:proofErr w:type="spellStart"/>
            <w:r w:rsidRPr="00493FCD">
              <w:rPr>
                <w:rFonts w:ascii="Calibri" w:hAnsi="Calibri" w:cs="Calibri"/>
                <w:color w:val="000000"/>
                <w:szCs w:val="22"/>
              </w:rPr>
              <w:t>mgN</w:t>
            </w:r>
            <w:proofErr w:type="spellEnd"/>
            <w:r w:rsidRPr="00493FCD">
              <w:rPr>
                <w:rFonts w:ascii="Calibri" w:hAnsi="Calibri" w:cs="Calibri"/>
                <w:color w:val="000000"/>
                <w:szCs w:val="22"/>
              </w:rPr>
              <w:t>/l</w:t>
            </w:r>
          </w:p>
        </w:tc>
        <w:tc>
          <w:tcPr>
            <w:tcW w:w="5245" w:type="dxa"/>
            <w:shd w:val="clear" w:color="auto" w:fill="auto"/>
            <w:noWrap/>
            <w:hideMark/>
          </w:tcPr>
          <w:p w14:paraId="04A6D1D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Total nitrogen in mg/L</w:t>
            </w:r>
          </w:p>
        </w:tc>
      </w:tr>
      <w:tr w:rsidR="00493FCD" w:rsidRPr="00493FCD" w14:paraId="24B59B04" w14:textId="77777777" w:rsidTr="00730033">
        <w:trPr>
          <w:cantSplit/>
        </w:trPr>
        <w:tc>
          <w:tcPr>
            <w:tcW w:w="0" w:type="auto"/>
            <w:shd w:val="clear" w:color="auto" w:fill="auto"/>
            <w:noWrap/>
            <w:hideMark/>
          </w:tcPr>
          <w:p w14:paraId="50D4962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22</w:t>
            </w:r>
          </w:p>
        </w:tc>
        <w:tc>
          <w:tcPr>
            <w:tcW w:w="2831" w:type="dxa"/>
            <w:shd w:val="clear" w:color="auto" w:fill="auto"/>
            <w:noWrap/>
            <w:hideMark/>
          </w:tcPr>
          <w:p w14:paraId="069197C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SRP - PO4-P </w:t>
            </w:r>
            <w:proofErr w:type="spellStart"/>
            <w:r w:rsidRPr="00493FCD">
              <w:rPr>
                <w:rFonts w:ascii="Calibri" w:hAnsi="Calibri" w:cs="Calibri"/>
                <w:color w:val="000000"/>
                <w:szCs w:val="22"/>
              </w:rPr>
              <w:t>mgP</w:t>
            </w:r>
            <w:proofErr w:type="spellEnd"/>
            <w:r w:rsidRPr="00493FCD">
              <w:rPr>
                <w:rFonts w:ascii="Calibri" w:hAnsi="Calibri" w:cs="Calibri"/>
                <w:color w:val="000000"/>
                <w:szCs w:val="22"/>
              </w:rPr>
              <w:t>/l</w:t>
            </w:r>
          </w:p>
        </w:tc>
        <w:tc>
          <w:tcPr>
            <w:tcW w:w="5245" w:type="dxa"/>
            <w:shd w:val="clear" w:color="auto" w:fill="auto"/>
            <w:noWrap/>
            <w:hideMark/>
          </w:tcPr>
          <w:p w14:paraId="1A78BB4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Soluble reactive phosphorus, phosphate as P in mg/L</w:t>
            </w:r>
          </w:p>
        </w:tc>
      </w:tr>
      <w:tr w:rsidR="00493FCD" w:rsidRPr="00493FCD" w14:paraId="334FEE71" w14:textId="77777777" w:rsidTr="00730033">
        <w:trPr>
          <w:cantSplit/>
        </w:trPr>
        <w:tc>
          <w:tcPr>
            <w:tcW w:w="0" w:type="auto"/>
            <w:shd w:val="clear" w:color="auto" w:fill="auto"/>
            <w:noWrap/>
            <w:hideMark/>
          </w:tcPr>
          <w:p w14:paraId="6608A478"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23</w:t>
            </w:r>
          </w:p>
        </w:tc>
        <w:tc>
          <w:tcPr>
            <w:tcW w:w="2831" w:type="dxa"/>
            <w:shd w:val="clear" w:color="auto" w:fill="auto"/>
            <w:noWrap/>
            <w:hideMark/>
          </w:tcPr>
          <w:p w14:paraId="749A7C6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TSP - PO4-P </w:t>
            </w:r>
            <w:proofErr w:type="spellStart"/>
            <w:r w:rsidRPr="00493FCD">
              <w:rPr>
                <w:rFonts w:ascii="Calibri" w:hAnsi="Calibri" w:cs="Calibri"/>
                <w:color w:val="000000"/>
                <w:szCs w:val="22"/>
              </w:rPr>
              <w:t>mgP</w:t>
            </w:r>
            <w:proofErr w:type="spellEnd"/>
            <w:r w:rsidRPr="00493FCD">
              <w:rPr>
                <w:rFonts w:ascii="Calibri" w:hAnsi="Calibri" w:cs="Calibri"/>
                <w:color w:val="000000"/>
                <w:szCs w:val="22"/>
              </w:rPr>
              <w:t>/l</w:t>
            </w:r>
          </w:p>
        </w:tc>
        <w:tc>
          <w:tcPr>
            <w:tcW w:w="5245" w:type="dxa"/>
            <w:shd w:val="clear" w:color="auto" w:fill="auto"/>
            <w:noWrap/>
            <w:hideMark/>
          </w:tcPr>
          <w:p w14:paraId="65A2D84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Total soluble phosphorus as P in mg/L</w:t>
            </w:r>
          </w:p>
        </w:tc>
      </w:tr>
      <w:tr w:rsidR="00493FCD" w:rsidRPr="00493FCD" w14:paraId="695F4288" w14:textId="77777777" w:rsidTr="00730033">
        <w:trPr>
          <w:cantSplit/>
        </w:trPr>
        <w:tc>
          <w:tcPr>
            <w:tcW w:w="0" w:type="auto"/>
            <w:shd w:val="clear" w:color="auto" w:fill="auto"/>
            <w:noWrap/>
            <w:hideMark/>
          </w:tcPr>
          <w:p w14:paraId="1C7B25F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24</w:t>
            </w:r>
          </w:p>
        </w:tc>
        <w:tc>
          <w:tcPr>
            <w:tcW w:w="2831" w:type="dxa"/>
            <w:shd w:val="clear" w:color="auto" w:fill="auto"/>
            <w:noWrap/>
            <w:hideMark/>
          </w:tcPr>
          <w:p w14:paraId="3B6B4D91"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Ptot</w:t>
            </w:r>
            <w:proofErr w:type="spellEnd"/>
            <w:r w:rsidRPr="00493FCD">
              <w:rPr>
                <w:rFonts w:ascii="Calibri" w:hAnsi="Calibri" w:cs="Calibri"/>
                <w:color w:val="000000"/>
                <w:szCs w:val="22"/>
              </w:rPr>
              <w:t xml:space="preserve"> </w:t>
            </w:r>
            <w:proofErr w:type="spellStart"/>
            <w:r w:rsidRPr="00493FCD">
              <w:rPr>
                <w:rFonts w:ascii="Calibri" w:hAnsi="Calibri" w:cs="Calibri"/>
                <w:color w:val="000000"/>
                <w:szCs w:val="22"/>
              </w:rPr>
              <w:t>mgP</w:t>
            </w:r>
            <w:proofErr w:type="spellEnd"/>
            <w:r w:rsidRPr="00493FCD">
              <w:rPr>
                <w:rFonts w:ascii="Calibri" w:hAnsi="Calibri" w:cs="Calibri"/>
                <w:color w:val="000000"/>
                <w:szCs w:val="22"/>
              </w:rPr>
              <w:t>/l</w:t>
            </w:r>
          </w:p>
        </w:tc>
        <w:tc>
          <w:tcPr>
            <w:tcW w:w="5245" w:type="dxa"/>
            <w:shd w:val="clear" w:color="auto" w:fill="auto"/>
            <w:noWrap/>
            <w:hideMark/>
          </w:tcPr>
          <w:p w14:paraId="1E8B844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Total phosphorus in mg/L</w:t>
            </w:r>
          </w:p>
        </w:tc>
      </w:tr>
      <w:tr w:rsidR="00493FCD" w:rsidRPr="00493FCD" w14:paraId="0B10C2B8" w14:textId="77777777" w:rsidTr="00730033">
        <w:trPr>
          <w:cantSplit/>
        </w:trPr>
        <w:tc>
          <w:tcPr>
            <w:tcW w:w="0" w:type="auto"/>
            <w:shd w:val="clear" w:color="auto" w:fill="auto"/>
            <w:noWrap/>
            <w:hideMark/>
          </w:tcPr>
          <w:p w14:paraId="06883CF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25</w:t>
            </w:r>
          </w:p>
        </w:tc>
        <w:tc>
          <w:tcPr>
            <w:tcW w:w="2831" w:type="dxa"/>
            <w:shd w:val="clear" w:color="auto" w:fill="auto"/>
            <w:noWrap/>
            <w:hideMark/>
          </w:tcPr>
          <w:p w14:paraId="3397963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SiO2 mgSiO2/l</w:t>
            </w:r>
          </w:p>
        </w:tc>
        <w:tc>
          <w:tcPr>
            <w:tcW w:w="5245" w:type="dxa"/>
            <w:shd w:val="clear" w:color="auto" w:fill="auto"/>
            <w:noWrap/>
            <w:hideMark/>
          </w:tcPr>
          <w:p w14:paraId="596B791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Silicate in mg/L</w:t>
            </w:r>
          </w:p>
        </w:tc>
      </w:tr>
      <w:tr w:rsidR="00493FCD" w:rsidRPr="00493FCD" w14:paraId="55598FA7" w14:textId="77777777" w:rsidTr="00730033">
        <w:trPr>
          <w:cantSplit/>
        </w:trPr>
        <w:tc>
          <w:tcPr>
            <w:tcW w:w="0" w:type="auto"/>
            <w:shd w:val="clear" w:color="auto" w:fill="auto"/>
            <w:noWrap/>
            <w:hideMark/>
          </w:tcPr>
          <w:p w14:paraId="1D0AC72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26</w:t>
            </w:r>
          </w:p>
        </w:tc>
        <w:tc>
          <w:tcPr>
            <w:tcW w:w="2831" w:type="dxa"/>
            <w:shd w:val="clear" w:color="auto" w:fill="auto"/>
            <w:noWrap/>
            <w:hideMark/>
          </w:tcPr>
          <w:p w14:paraId="41866FB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SiO2 </w:t>
            </w:r>
            <w:proofErr w:type="spellStart"/>
            <w:r w:rsidRPr="00493FCD">
              <w:rPr>
                <w:rFonts w:ascii="Calibri" w:hAnsi="Calibri" w:cs="Calibri"/>
                <w:color w:val="000000"/>
                <w:szCs w:val="22"/>
              </w:rPr>
              <w:t>mgSi</w:t>
            </w:r>
            <w:proofErr w:type="spellEnd"/>
            <w:r w:rsidRPr="00493FCD">
              <w:rPr>
                <w:rFonts w:ascii="Calibri" w:hAnsi="Calibri" w:cs="Calibri"/>
                <w:color w:val="000000"/>
                <w:szCs w:val="22"/>
              </w:rPr>
              <w:t>/l</w:t>
            </w:r>
          </w:p>
        </w:tc>
        <w:tc>
          <w:tcPr>
            <w:tcW w:w="5245" w:type="dxa"/>
            <w:shd w:val="clear" w:color="auto" w:fill="auto"/>
            <w:noWrap/>
            <w:hideMark/>
          </w:tcPr>
          <w:p w14:paraId="5D77BB4E"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Silicate as Si in mg/L</w:t>
            </w:r>
          </w:p>
        </w:tc>
      </w:tr>
      <w:tr w:rsidR="00493FCD" w:rsidRPr="00493FCD" w14:paraId="06BDBA23" w14:textId="77777777" w:rsidTr="00730033">
        <w:trPr>
          <w:cantSplit/>
        </w:trPr>
        <w:tc>
          <w:tcPr>
            <w:tcW w:w="0" w:type="auto"/>
            <w:shd w:val="clear" w:color="auto" w:fill="auto"/>
            <w:noWrap/>
            <w:hideMark/>
          </w:tcPr>
          <w:p w14:paraId="67E8DE38"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27</w:t>
            </w:r>
          </w:p>
        </w:tc>
        <w:tc>
          <w:tcPr>
            <w:tcW w:w="2831" w:type="dxa"/>
            <w:shd w:val="clear" w:color="auto" w:fill="auto"/>
            <w:noWrap/>
            <w:hideMark/>
          </w:tcPr>
          <w:p w14:paraId="6BA2016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Alkalinity (mol/L)</w:t>
            </w:r>
          </w:p>
        </w:tc>
        <w:tc>
          <w:tcPr>
            <w:tcW w:w="5245" w:type="dxa"/>
            <w:shd w:val="clear" w:color="auto" w:fill="auto"/>
            <w:noWrap/>
            <w:hideMark/>
          </w:tcPr>
          <w:p w14:paraId="411CBE4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 xml:space="preserve">Total </w:t>
            </w:r>
            <w:proofErr w:type="spellStart"/>
            <w:r w:rsidRPr="00493FCD">
              <w:rPr>
                <w:rFonts w:ascii="Calibri" w:hAnsi="Calibri" w:cs="Calibri"/>
                <w:color w:val="000000"/>
                <w:szCs w:val="22"/>
                <w:lang w:val="en-US" w:eastAsia="nl-NL"/>
              </w:rPr>
              <w:t>alkalnity</w:t>
            </w:r>
            <w:proofErr w:type="spellEnd"/>
            <w:r w:rsidRPr="00493FCD">
              <w:rPr>
                <w:rFonts w:ascii="Calibri" w:hAnsi="Calibri" w:cs="Calibri"/>
                <w:color w:val="000000"/>
                <w:szCs w:val="22"/>
                <w:lang w:val="en-US" w:eastAsia="nl-NL"/>
              </w:rPr>
              <w:t xml:space="preserve"> in mol/L</w:t>
            </w:r>
          </w:p>
        </w:tc>
      </w:tr>
      <w:tr w:rsidR="00493FCD" w:rsidRPr="00493FCD" w14:paraId="3A103D13" w14:textId="77777777" w:rsidTr="00730033">
        <w:trPr>
          <w:cantSplit/>
        </w:trPr>
        <w:tc>
          <w:tcPr>
            <w:tcW w:w="0" w:type="auto"/>
            <w:shd w:val="clear" w:color="auto" w:fill="auto"/>
            <w:noWrap/>
            <w:hideMark/>
          </w:tcPr>
          <w:p w14:paraId="379A979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28</w:t>
            </w:r>
          </w:p>
        </w:tc>
        <w:tc>
          <w:tcPr>
            <w:tcW w:w="2831" w:type="dxa"/>
            <w:shd w:val="clear" w:color="auto" w:fill="auto"/>
            <w:noWrap/>
            <w:hideMark/>
          </w:tcPr>
          <w:p w14:paraId="40B69BFA"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Alkalinity (</w:t>
            </w:r>
            <w:proofErr w:type="spellStart"/>
            <w:r w:rsidRPr="00493FCD">
              <w:rPr>
                <w:rFonts w:ascii="Calibri" w:hAnsi="Calibri" w:cs="Calibri"/>
                <w:color w:val="000000"/>
                <w:szCs w:val="22"/>
              </w:rPr>
              <w:t>umol</w:t>
            </w:r>
            <w:proofErr w:type="spellEnd"/>
            <w:r w:rsidRPr="00493FCD">
              <w:rPr>
                <w:rFonts w:ascii="Calibri" w:hAnsi="Calibri" w:cs="Calibri"/>
                <w:color w:val="000000"/>
                <w:szCs w:val="22"/>
              </w:rPr>
              <w:t>/L)</w:t>
            </w:r>
          </w:p>
        </w:tc>
        <w:tc>
          <w:tcPr>
            <w:tcW w:w="5245" w:type="dxa"/>
            <w:shd w:val="clear" w:color="auto" w:fill="auto"/>
            <w:noWrap/>
            <w:hideMark/>
          </w:tcPr>
          <w:p w14:paraId="388AA60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Total alkalinity in µmol/L</w:t>
            </w:r>
          </w:p>
        </w:tc>
      </w:tr>
      <w:tr w:rsidR="00493FCD" w:rsidRPr="00493FCD" w14:paraId="7AC41782" w14:textId="77777777" w:rsidTr="00730033">
        <w:trPr>
          <w:cantSplit/>
        </w:trPr>
        <w:tc>
          <w:tcPr>
            <w:tcW w:w="0" w:type="auto"/>
            <w:shd w:val="clear" w:color="auto" w:fill="auto"/>
            <w:noWrap/>
            <w:hideMark/>
          </w:tcPr>
          <w:p w14:paraId="1C03D646"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29</w:t>
            </w:r>
          </w:p>
        </w:tc>
        <w:tc>
          <w:tcPr>
            <w:tcW w:w="2831" w:type="dxa"/>
            <w:shd w:val="clear" w:color="auto" w:fill="auto"/>
            <w:noWrap/>
            <w:hideMark/>
          </w:tcPr>
          <w:p w14:paraId="5A40032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Na(mg/l)</w:t>
            </w:r>
          </w:p>
        </w:tc>
        <w:tc>
          <w:tcPr>
            <w:tcW w:w="5245" w:type="dxa"/>
            <w:shd w:val="clear" w:color="auto" w:fill="auto"/>
            <w:noWrap/>
            <w:hideMark/>
          </w:tcPr>
          <w:p w14:paraId="64C52908"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Sodium ions in mg/l</w:t>
            </w:r>
          </w:p>
        </w:tc>
      </w:tr>
      <w:tr w:rsidR="00493FCD" w:rsidRPr="00493FCD" w14:paraId="19255A64" w14:textId="77777777" w:rsidTr="00730033">
        <w:trPr>
          <w:cantSplit/>
        </w:trPr>
        <w:tc>
          <w:tcPr>
            <w:tcW w:w="0" w:type="auto"/>
            <w:shd w:val="clear" w:color="auto" w:fill="auto"/>
            <w:noWrap/>
            <w:hideMark/>
          </w:tcPr>
          <w:p w14:paraId="4FC6BCE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30</w:t>
            </w:r>
          </w:p>
        </w:tc>
        <w:tc>
          <w:tcPr>
            <w:tcW w:w="2831" w:type="dxa"/>
            <w:shd w:val="clear" w:color="auto" w:fill="auto"/>
            <w:noWrap/>
            <w:hideMark/>
          </w:tcPr>
          <w:p w14:paraId="1648D7E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Mg (mg/l)</w:t>
            </w:r>
          </w:p>
        </w:tc>
        <w:tc>
          <w:tcPr>
            <w:tcW w:w="5245" w:type="dxa"/>
            <w:shd w:val="clear" w:color="auto" w:fill="auto"/>
            <w:noWrap/>
            <w:hideMark/>
          </w:tcPr>
          <w:p w14:paraId="038ED24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Magnesium ions in mg/L</w:t>
            </w:r>
          </w:p>
        </w:tc>
      </w:tr>
      <w:tr w:rsidR="00493FCD" w:rsidRPr="00493FCD" w14:paraId="10B3DFF7" w14:textId="77777777" w:rsidTr="00730033">
        <w:trPr>
          <w:cantSplit/>
        </w:trPr>
        <w:tc>
          <w:tcPr>
            <w:tcW w:w="0" w:type="auto"/>
            <w:shd w:val="clear" w:color="auto" w:fill="auto"/>
            <w:noWrap/>
            <w:hideMark/>
          </w:tcPr>
          <w:p w14:paraId="4909601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31</w:t>
            </w:r>
          </w:p>
        </w:tc>
        <w:tc>
          <w:tcPr>
            <w:tcW w:w="2831" w:type="dxa"/>
            <w:shd w:val="clear" w:color="auto" w:fill="auto"/>
            <w:noWrap/>
            <w:hideMark/>
          </w:tcPr>
          <w:p w14:paraId="07B7D07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K (mg/l)</w:t>
            </w:r>
          </w:p>
        </w:tc>
        <w:tc>
          <w:tcPr>
            <w:tcW w:w="5245" w:type="dxa"/>
            <w:shd w:val="clear" w:color="auto" w:fill="auto"/>
            <w:noWrap/>
            <w:hideMark/>
          </w:tcPr>
          <w:p w14:paraId="31C5EA2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nl-NL" w:eastAsia="nl-NL"/>
              </w:rPr>
              <w:t>Potassium ions in mg/L</w:t>
            </w:r>
          </w:p>
        </w:tc>
      </w:tr>
      <w:tr w:rsidR="00493FCD" w:rsidRPr="00493FCD" w14:paraId="637B3C12" w14:textId="77777777" w:rsidTr="00730033">
        <w:trPr>
          <w:cantSplit/>
        </w:trPr>
        <w:tc>
          <w:tcPr>
            <w:tcW w:w="0" w:type="auto"/>
            <w:shd w:val="clear" w:color="auto" w:fill="auto"/>
            <w:noWrap/>
            <w:hideMark/>
          </w:tcPr>
          <w:p w14:paraId="5FA3B06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32</w:t>
            </w:r>
          </w:p>
        </w:tc>
        <w:tc>
          <w:tcPr>
            <w:tcW w:w="2831" w:type="dxa"/>
            <w:shd w:val="clear" w:color="auto" w:fill="auto"/>
            <w:noWrap/>
            <w:hideMark/>
          </w:tcPr>
          <w:p w14:paraId="25B2C5D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Ca (mg/l)</w:t>
            </w:r>
          </w:p>
        </w:tc>
        <w:tc>
          <w:tcPr>
            <w:tcW w:w="5245" w:type="dxa"/>
            <w:shd w:val="clear" w:color="auto" w:fill="auto"/>
            <w:noWrap/>
            <w:hideMark/>
          </w:tcPr>
          <w:p w14:paraId="565DB1CF"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Calcium ions in mg/L</w:t>
            </w:r>
          </w:p>
        </w:tc>
      </w:tr>
      <w:tr w:rsidR="00493FCD" w:rsidRPr="00493FCD" w14:paraId="674F51D3" w14:textId="77777777" w:rsidTr="00730033">
        <w:trPr>
          <w:cantSplit/>
        </w:trPr>
        <w:tc>
          <w:tcPr>
            <w:tcW w:w="0" w:type="auto"/>
            <w:shd w:val="clear" w:color="auto" w:fill="auto"/>
            <w:noWrap/>
            <w:hideMark/>
          </w:tcPr>
          <w:p w14:paraId="09BC71A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33</w:t>
            </w:r>
          </w:p>
        </w:tc>
        <w:tc>
          <w:tcPr>
            <w:tcW w:w="2831" w:type="dxa"/>
            <w:shd w:val="clear" w:color="auto" w:fill="auto"/>
            <w:noWrap/>
            <w:hideMark/>
          </w:tcPr>
          <w:p w14:paraId="1D60075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Cl-(mg/l)</w:t>
            </w:r>
          </w:p>
        </w:tc>
        <w:tc>
          <w:tcPr>
            <w:tcW w:w="5245" w:type="dxa"/>
            <w:shd w:val="clear" w:color="auto" w:fill="auto"/>
            <w:noWrap/>
            <w:hideMark/>
          </w:tcPr>
          <w:p w14:paraId="0805F33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Chloride ions in mg/L</w:t>
            </w:r>
          </w:p>
        </w:tc>
      </w:tr>
      <w:tr w:rsidR="00493FCD" w:rsidRPr="00493FCD" w14:paraId="4ECBFF73" w14:textId="77777777" w:rsidTr="00730033">
        <w:trPr>
          <w:cantSplit/>
        </w:trPr>
        <w:tc>
          <w:tcPr>
            <w:tcW w:w="0" w:type="auto"/>
            <w:shd w:val="clear" w:color="auto" w:fill="auto"/>
            <w:noWrap/>
            <w:hideMark/>
          </w:tcPr>
          <w:p w14:paraId="6903003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34</w:t>
            </w:r>
          </w:p>
        </w:tc>
        <w:tc>
          <w:tcPr>
            <w:tcW w:w="2831" w:type="dxa"/>
            <w:shd w:val="clear" w:color="auto" w:fill="auto"/>
            <w:noWrap/>
            <w:hideMark/>
          </w:tcPr>
          <w:p w14:paraId="332D1647"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SO4 (mg/l)</w:t>
            </w:r>
          </w:p>
        </w:tc>
        <w:tc>
          <w:tcPr>
            <w:tcW w:w="5245" w:type="dxa"/>
            <w:shd w:val="clear" w:color="auto" w:fill="auto"/>
            <w:noWrap/>
            <w:hideMark/>
          </w:tcPr>
          <w:p w14:paraId="63BC6DC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lang w:val="en-US" w:eastAsia="nl-NL"/>
              </w:rPr>
              <w:t>Sulphate ions in mg/L</w:t>
            </w:r>
          </w:p>
        </w:tc>
      </w:tr>
      <w:tr w:rsidR="00493FCD" w:rsidRPr="00493FCD" w14:paraId="75DB1F4A" w14:textId="77777777" w:rsidTr="00730033">
        <w:trPr>
          <w:cantSplit/>
        </w:trPr>
        <w:tc>
          <w:tcPr>
            <w:tcW w:w="0" w:type="auto"/>
            <w:shd w:val="clear" w:color="auto" w:fill="auto"/>
            <w:noWrap/>
            <w:hideMark/>
          </w:tcPr>
          <w:p w14:paraId="0313B34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35</w:t>
            </w:r>
          </w:p>
        </w:tc>
        <w:tc>
          <w:tcPr>
            <w:tcW w:w="2831" w:type="dxa"/>
            <w:shd w:val="clear" w:color="auto" w:fill="auto"/>
            <w:noWrap/>
            <w:hideMark/>
          </w:tcPr>
          <w:p w14:paraId="25D24041"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Fucoxanthin nmol/L</w:t>
            </w:r>
          </w:p>
        </w:tc>
        <w:tc>
          <w:tcPr>
            <w:tcW w:w="5245" w:type="dxa"/>
            <w:shd w:val="clear" w:color="auto" w:fill="auto"/>
            <w:noWrap/>
            <w:hideMark/>
          </w:tcPr>
          <w:p w14:paraId="0DF7C8B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Fucoxanthin concentrations in nmol/L</w:t>
            </w:r>
          </w:p>
        </w:tc>
      </w:tr>
      <w:tr w:rsidR="00493FCD" w:rsidRPr="00493FCD" w14:paraId="5D59AEF1" w14:textId="77777777" w:rsidTr="00730033">
        <w:trPr>
          <w:cantSplit/>
        </w:trPr>
        <w:tc>
          <w:tcPr>
            <w:tcW w:w="0" w:type="auto"/>
            <w:shd w:val="clear" w:color="auto" w:fill="auto"/>
            <w:noWrap/>
            <w:hideMark/>
          </w:tcPr>
          <w:p w14:paraId="724C56C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36</w:t>
            </w:r>
          </w:p>
        </w:tc>
        <w:tc>
          <w:tcPr>
            <w:tcW w:w="2831" w:type="dxa"/>
            <w:shd w:val="clear" w:color="auto" w:fill="auto"/>
            <w:noWrap/>
            <w:hideMark/>
          </w:tcPr>
          <w:p w14:paraId="75AA556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Violaxanthin nmol/L</w:t>
            </w:r>
          </w:p>
        </w:tc>
        <w:tc>
          <w:tcPr>
            <w:tcW w:w="5245" w:type="dxa"/>
            <w:shd w:val="clear" w:color="auto" w:fill="auto"/>
            <w:noWrap/>
            <w:hideMark/>
          </w:tcPr>
          <w:p w14:paraId="229C32E8"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Violaxanthin concentrations in nmol/L</w:t>
            </w:r>
          </w:p>
        </w:tc>
      </w:tr>
      <w:tr w:rsidR="00493FCD" w:rsidRPr="00493FCD" w14:paraId="3E6A7D06" w14:textId="77777777" w:rsidTr="00730033">
        <w:trPr>
          <w:cantSplit/>
        </w:trPr>
        <w:tc>
          <w:tcPr>
            <w:tcW w:w="0" w:type="auto"/>
            <w:shd w:val="clear" w:color="auto" w:fill="auto"/>
            <w:noWrap/>
            <w:hideMark/>
          </w:tcPr>
          <w:p w14:paraId="54994A6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37</w:t>
            </w:r>
          </w:p>
        </w:tc>
        <w:tc>
          <w:tcPr>
            <w:tcW w:w="2831" w:type="dxa"/>
            <w:shd w:val="clear" w:color="auto" w:fill="auto"/>
            <w:noWrap/>
            <w:hideMark/>
          </w:tcPr>
          <w:p w14:paraId="17C794F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Diadinoxanthin nmol/L</w:t>
            </w:r>
          </w:p>
        </w:tc>
        <w:tc>
          <w:tcPr>
            <w:tcW w:w="5245" w:type="dxa"/>
            <w:shd w:val="clear" w:color="auto" w:fill="auto"/>
            <w:noWrap/>
            <w:hideMark/>
          </w:tcPr>
          <w:p w14:paraId="5EAA181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Diadinoxanthin concentrations in nmol/L</w:t>
            </w:r>
          </w:p>
        </w:tc>
      </w:tr>
      <w:tr w:rsidR="00493FCD" w:rsidRPr="00493FCD" w14:paraId="3E352BDA" w14:textId="77777777" w:rsidTr="00730033">
        <w:trPr>
          <w:cantSplit/>
        </w:trPr>
        <w:tc>
          <w:tcPr>
            <w:tcW w:w="0" w:type="auto"/>
            <w:shd w:val="clear" w:color="auto" w:fill="auto"/>
            <w:noWrap/>
            <w:hideMark/>
          </w:tcPr>
          <w:p w14:paraId="164B2D2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38</w:t>
            </w:r>
          </w:p>
        </w:tc>
        <w:tc>
          <w:tcPr>
            <w:tcW w:w="2831" w:type="dxa"/>
            <w:shd w:val="clear" w:color="auto" w:fill="auto"/>
            <w:noWrap/>
            <w:hideMark/>
          </w:tcPr>
          <w:p w14:paraId="5D0F8F60"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Diatoxanthin nmol/L</w:t>
            </w:r>
          </w:p>
        </w:tc>
        <w:tc>
          <w:tcPr>
            <w:tcW w:w="5245" w:type="dxa"/>
            <w:shd w:val="clear" w:color="auto" w:fill="auto"/>
            <w:noWrap/>
            <w:hideMark/>
          </w:tcPr>
          <w:p w14:paraId="38FC32C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Diatoxanthin concentrations in nmol/L</w:t>
            </w:r>
          </w:p>
        </w:tc>
      </w:tr>
      <w:tr w:rsidR="00493FCD" w:rsidRPr="00493FCD" w14:paraId="4FA13C96" w14:textId="77777777" w:rsidTr="00730033">
        <w:trPr>
          <w:cantSplit/>
        </w:trPr>
        <w:tc>
          <w:tcPr>
            <w:tcW w:w="0" w:type="auto"/>
            <w:shd w:val="clear" w:color="auto" w:fill="auto"/>
            <w:noWrap/>
            <w:hideMark/>
          </w:tcPr>
          <w:p w14:paraId="18E01414"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39</w:t>
            </w:r>
          </w:p>
        </w:tc>
        <w:tc>
          <w:tcPr>
            <w:tcW w:w="2831" w:type="dxa"/>
            <w:shd w:val="clear" w:color="auto" w:fill="auto"/>
            <w:noWrap/>
            <w:hideMark/>
          </w:tcPr>
          <w:p w14:paraId="676EFA7C"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Lutein nmol/L</w:t>
            </w:r>
          </w:p>
        </w:tc>
        <w:tc>
          <w:tcPr>
            <w:tcW w:w="5245" w:type="dxa"/>
            <w:shd w:val="clear" w:color="auto" w:fill="auto"/>
            <w:noWrap/>
            <w:hideMark/>
          </w:tcPr>
          <w:p w14:paraId="278C623B"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Lutein concentrations in nmol/L</w:t>
            </w:r>
          </w:p>
        </w:tc>
      </w:tr>
      <w:tr w:rsidR="00493FCD" w:rsidRPr="00493FCD" w14:paraId="10E9E866" w14:textId="77777777" w:rsidTr="00730033">
        <w:trPr>
          <w:cantSplit/>
        </w:trPr>
        <w:tc>
          <w:tcPr>
            <w:tcW w:w="0" w:type="auto"/>
            <w:shd w:val="clear" w:color="auto" w:fill="auto"/>
            <w:noWrap/>
            <w:hideMark/>
          </w:tcPr>
          <w:p w14:paraId="779E277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40</w:t>
            </w:r>
          </w:p>
        </w:tc>
        <w:tc>
          <w:tcPr>
            <w:tcW w:w="2831" w:type="dxa"/>
            <w:shd w:val="clear" w:color="auto" w:fill="auto"/>
            <w:noWrap/>
            <w:hideMark/>
          </w:tcPr>
          <w:p w14:paraId="095C4245"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Zeaxanthin nmol/L</w:t>
            </w:r>
          </w:p>
        </w:tc>
        <w:tc>
          <w:tcPr>
            <w:tcW w:w="5245" w:type="dxa"/>
            <w:shd w:val="clear" w:color="auto" w:fill="auto"/>
            <w:noWrap/>
            <w:hideMark/>
          </w:tcPr>
          <w:p w14:paraId="3366FC4D"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Zeaxanthin concentrations in nmol/L</w:t>
            </w:r>
          </w:p>
        </w:tc>
      </w:tr>
      <w:tr w:rsidR="00493FCD" w:rsidRPr="00493FCD" w14:paraId="60A03DB8" w14:textId="77777777" w:rsidTr="00730033">
        <w:trPr>
          <w:cantSplit/>
        </w:trPr>
        <w:tc>
          <w:tcPr>
            <w:tcW w:w="0" w:type="auto"/>
            <w:shd w:val="clear" w:color="auto" w:fill="auto"/>
            <w:noWrap/>
            <w:hideMark/>
          </w:tcPr>
          <w:p w14:paraId="78853D09"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41</w:t>
            </w:r>
          </w:p>
        </w:tc>
        <w:tc>
          <w:tcPr>
            <w:tcW w:w="2831" w:type="dxa"/>
            <w:shd w:val="clear" w:color="auto" w:fill="auto"/>
            <w:noWrap/>
            <w:hideMark/>
          </w:tcPr>
          <w:p w14:paraId="2A837403"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Canthaxanthin nmol/L</w:t>
            </w:r>
          </w:p>
        </w:tc>
        <w:tc>
          <w:tcPr>
            <w:tcW w:w="5245" w:type="dxa"/>
            <w:shd w:val="clear" w:color="auto" w:fill="auto"/>
            <w:noWrap/>
            <w:hideMark/>
          </w:tcPr>
          <w:p w14:paraId="100666BE"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Canthaxanthin concentrations in nmol/L</w:t>
            </w:r>
          </w:p>
        </w:tc>
      </w:tr>
      <w:tr w:rsidR="00493FCD" w:rsidRPr="00493FCD" w14:paraId="27B1BE11" w14:textId="77777777" w:rsidTr="00730033">
        <w:trPr>
          <w:cantSplit/>
        </w:trPr>
        <w:tc>
          <w:tcPr>
            <w:tcW w:w="0" w:type="auto"/>
            <w:shd w:val="clear" w:color="auto" w:fill="auto"/>
            <w:noWrap/>
            <w:hideMark/>
          </w:tcPr>
          <w:p w14:paraId="7E6CAC9B"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42</w:t>
            </w:r>
          </w:p>
        </w:tc>
        <w:tc>
          <w:tcPr>
            <w:tcW w:w="2831" w:type="dxa"/>
            <w:shd w:val="clear" w:color="auto" w:fill="auto"/>
            <w:noWrap/>
            <w:hideMark/>
          </w:tcPr>
          <w:p w14:paraId="2A26C4AD"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Chl</w:t>
            </w:r>
            <w:proofErr w:type="spellEnd"/>
            <w:r w:rsidRPr="00493FCD">
              <w:rPr>
                <w:rFonts w:ascii="Calibri" w:hAnsi="Calibri" w:cs="Calibri"/>
                <w:color w:val="000000"/>
                <w:szCs w:val="22"/>
              </w:rPr>
              <w:t xml:space="preserve"> a nmol/L</w:t>
            </w:r>
          </w:p>
        </w:tc>
        <w:tc>
          <w:tcPr>
            <w:tcW w:w="5245" w:type="dxa"/>
            <w:shd w:val="clear" w:color="auto" w:fill="auto"/>
            <w:noWrap/>
            <w:hideMark/>
          </w:tcPr>
          <w:p w14:paraId="2C53D8D2"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 xml:space="preserve">Chlorophyll a </w:t>
            </w:r>
            <w:proofErr w:type="gramStart"/>
            <w:r w:rsidRPr="00493FCD">
              <w:rPr>
                <w:rFonts w:ascii="Calibri" w:hAnsi="Calibri" w:cs="Calibri"/>
                <w:color w:val="000000"/>
                <w:szCs w:val="22"/>
              </w:rPr>
              <w:t>concentrations</w:t>
            </w:r>
            <w:proofErr w:type="gramEnd"/>
            <w:r w:rsidRPr="00493FCD">
              <w:rPr>
                <w:rFonts w:ascii="Calibri" w:hAnsi="Calibri" w:cs="Calibri"/>
                <w:color w:val="000000"/>
                <w:szCs w:val="22"/>
              </w:rPr>
              <w:t xml:space="preserve"> in nmol/L</w:t>
            </w:r>
          </w:p>
        </w:tc>
      </w:tr>
      <w:tr w:rsidR="00493FCD" w:rsidRPr="00493FCD" w14:paraId="5246283B" w14:textId="77777777" w:rsidTr="00730033">
        <w:trPr>
          <w:cantSplit/>
        </w:trPr>
        <w:tc>
          <w:tcPr>
            <w:tcW w:w="0" w:type="auto"/>
            <w:shd w:val="clear" w:color="auto" w:fill="auto"/>
            <w:noWrap/>
            <w:hideMark/>
          </w:tcPr>
          <w:p w14:paraId="68D55A7B"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43</w:t>
            </w:r>
          </w:p>
        </w:tc>
        <w:tc>
          <w:tcPr>
            <w:tcW w:w="2831" w:type="dxa"/>
            <w:shd w:val="clear" w:color="auto" w:fill="auto"/>
            <w:noWrap/>
            <w:hideMark/>
          </w:tcPr>
          <w:p w14:paraId="5BFD0563"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Chl</w:t>
            </w:r>
            <w:proofErr w:type="spellEnd"/>
            <w:r w:rsidRPr="00493FCD">
              <w:rPr>
                <w:rFonts w:ascii="Calibri" w:hAnsi="Calibri" w:cs="Calibri"/>
                <w:color w:val="000000"/>
                <w:szCs w:val="22"/>
              </w:rPr>
              <w:t xml:space="preserve"> a'1 nmol/L</w:t>
            </w:r>
          </w:p>
        </w:tc>
        <w:tc>
          <w:tcPr>
            <w:tcW w:w="5245" w:type="dxa"/>
            <w:shd w:val="clear" w:color="auto" w:fill="auto"/>
            <w:noWrap/>
            <w:hideMark/>
          </w:tcPr>
          <w:p w14:paraId="14C4859A"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Chl</w:t>
            </w:r>
            <w:proofErr w:type="spellEnd"/>
            <w:r w:rsidRPr="00493FCD">
              <w:rPr>
                <w:rFonts w:ascii="Calibri" w:hAnsi="Calibri" w:cs="Calibri"/>
                <w:color w:val="000000"/>
                <w:szCs w:val="22"/>
              </w:rPr>
              <w:t xml:space="preserve"> a </w:t>
            </w:r>
            <w:proofErr w:type="gramStart"/>
            <w:r w:rsidRPr="00493FCD">
              <w:rPr>
                <w:rFonts w:ascii="Calibri" w:hAnsi="Calibri" w:cs="Calibri"/>
                <w:color w:val="000000"/>
                <w:szCs w:val="22"/>
              </w:rPr>
              <w:t>derivative concentrations</w:t>
            </w:r>
            <w:proofErr w:type="gramEnd"/>
            <w:r w:rsidRPr="00493FCD">
              <w:rPr>
                <w:rFonts w:ascii="Calibri" w:hAnsi="Calibri" w:cs="Calibri"/>
                <w:color w:val="000000"/>
                <w:szCs w:val="22"/>
              </w:rPr>
              <w:t xml:space="preserve"> in nmol/L</w:t>
            </w:r>
          </w:p>
        </w:tc>
      </w:tr>
      <w:tr w:rsidR="00493FCD" w:rsidRPr="00493FCD" w14:paraId="597335BA" w14:textId="77777777" w:rsidTr="00730033">
        <w:trPr>
          <w:cantSplit/>
        </w:trPr>
        <w:tc>
          <w:tcPr>
            <w:tcW w:w="0" w:type="auto"/>
            <w:shd w:val="clear" w:color="auto" w:fill="auto"/>
            <w:noWrap/>
            <w:hideMark/>
          </w:tcPr>
          <w:p w14:paraId="68823D9E" w14:textId="77777777" w:rsidR="00493FCD" w:rsidRPr="00493FCD" w:rsidRDefault="00493FCD" w:rsidP="00493FCD">
            <w:pPr>
              <w:keepLines w:val="0"/>
              <w:spacing w:before="40" w:after="40" w:line="240" w:lineRule="auto"/>
              <w:rPr>
                <w:rFonts w:ascii="Calibri" w:hAnsi="Calibri" w:cs="Calibri"/>
                <w:color w:val="000000"/>
                <w:szCs w:val="22"/>
              </w:rPr>
            </w:pPr>
            <w:r w:rsidRPr="00493FCD">
              <w:rPr>
                <w:rFonts w:ascii="Calibri" w:hAnsi="Calibri" w:cs="Calibri"/>
                <w:color w:val="000000"/>
                <w:szCs w:val="22"/>
              </w:rPr>
              <w:t>44</w:t>
            </w:r>
          </w:p>
        </w:tc>
        <w:tc>
          <w:tcPr>
            <w:tcW w:w="2831" w:type="dxa"/>
            <w:shd w:val="clear" w:color="auto" w:fill="auto"/>
            <w:noWrap/>
            <w:hideMark/>
          </w:tcPr>
          <w:p w14:paraId="6782BC99"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Chl</w:t>
            </w:r>
            <w:proofErr w:type="spellEnd"/>
            <w:r w:rsidRPr="00493FCD">
              <w:rPr>
                <w:rFonts w:ascii="Calibri" w:hAnsi="Calibri" w:cs="Calibri"/>
                <w:color w:val="000000"/>
                <w:szCs w:val="22"/>
              </w:rPr>
              <w:t xml:space="preserve"> a'2 nmol/L</w:t>
            </w:r>
          </w:p>
        </w:tc>
        <w:tc>
          <w:tcPr>
            <w:tcW w:w="5245" w:type="dxa"/>
            <w:shd w:val="clear" w:color="auto" w:fill="auto"/>
            <w:noWrap/>
            <w:hideMark/>
          </w:tcPr>
          <w:p w14:paraId="1D8A307F" w14:textId="77777777" w:rsidR="00493FCD" w:rsidRPr="00493FCD" w:rsidRDefault="00493FCD" w:rsidP="00493FCD">
            <w:pPr>
              <w:keepLines w:val="0"/>
              <w:spacing w:before="40" w:after="40" w:line="240" w:lineRule="auto"/>
              <w:rPr>
                <w:rFonts w:ascii="Calibri" w:hAnsi="Calibri" w:cs="Calibri"/>
                <w:color w:val="000000"/>
                <w:szCs w:val="22"/>
              </w:rPr>
            </w:pPr>
            <w:proofErr w:type="spellStart"/>
            <w:r w:rsidRPr="00493FCD">
              <w:rPr>
                <w:rFonts w:ascii="Calibri" w:hAnsi="Calibri" w:cs="Calibri"/>
                <w:color w:val="000000"/>
                <w:szCs w:val="22"/>
              </w:rPr>
              <w:t>Chl</w:t>
            </w:r>
            <w:proofErr w:type="spellEnd"/>
            <w:r w:rsidRPr="00493FCD">
              <w:rPr>
                <w:rFonts w:ascii="Calibri" w:hAnsi="Calibri" w:cs="Calibri"/>
                <w:color w:val="000000"/>
                <w:szCs w:val="22"/>
              </w:rPr>
              <w:t xml:space="preserve"> a </w:t>
            </w:r>
            <w:proofErr w:type="gramStart"/>
            <w:r w:rsidRPr="00493FCD">
              <w:rPr>
                <w:rFonts w:ascii="Calibri" w:hAnsi="Calibri" w:cs="Calibri"/>
                <w:color w:val="000000"/>
                <w:szCs w:val="22"/>
              </w:rPr>
              <w:t>derivative concentrations</w:t>
            </w:r>
            <w:proofErr w:type="gramEnd"/>
            <w:r w:rsidRPr="00493FCD">
              <w:rPr>
                <w:rFonts w:ascii="Calibri" w:hAnsi="Calibri" w:cs="Calibri"/>
                <w:color w:val="000000"/>
                <w:szCs w:val="22"/>
              </w:rPr>
              <w:t xml:space="preserve"> in nmol/L</w:t>
            </w:r>
          </w:p>
        </w:tc>
      </w:tr>
    </w:tbl>
    <w:p w14:paraId="3E0E6ECF" w14:textId="598718F6" w:rsidR="007D37D1" w:rsidRPr="009E50D8" w:rsidRDefault="007D37D1" w:rsidP="00385F42">
      <w:pPr>
        <w:pStyle w:val="Heading1"/>
      </w:pPr>
      <w:r w:rsidRPr="009E50D8">
        <w:t>References</w:t>
      </w:r>
    </w:p>
    <w:p w14:paraId="5C54997A" w14:textId="77777777" w:rsidR="007D37D1" w:rsidRPr="009E50D8" w:rsidRDefault="007D37D1" w:rsidP="00385F42">
      <w:r w:rsidRPr="009E50D8">
        <w:t>APHA, Standard methods for the examination of water and wastewater (Vol. 2). American Public Health Association (1912).</w:t>
      </w:r>
    </w:p>
    <w:p w14:paraId="704A116F" w14:textId="741314E1" w:rsidR="007D37D1" w:rsidRPr="009E50D8" w:rsidRDefault="009E50D8" w:rsidP="00385F42">
      <w:r w:rsidRPr="009E50D8">
        <w:rPr>
          <w:color w:val="222222"/>
          <w:shd w:val="clear" w:color="auto" w:fill="FFFFFF"/>
        </w:rPr>
        <w:t>Chen, N., Bianchi, T. S., McKee, B. A., &amp; Bland, J. M. (2001). Historical trends of hypoxia on the Louisiana shelf: application of pigments as biomarkers. </w:t>
      </w:r>
      <w:r w:rsidRPr="009E50D8">
        <w:rPr>
          <w:i/>
          <w:iCs/>
          <w:color w:val="222222"/>
          <w:shd w:val="clear" w:color="auto" w:fill="FFFFFF"/>
        </w:rPr>
        <w:t>Organic Geochemistry</w:t>
      </w:r>
      <w:r w:rsidRPr="009E50D8">
        <w:rPr>
          <w:color w:val="222222"/>
          <w:shd w:val="clear" w:color="auto" w:fill="FFFFFF"/>
        </w:rPr>
        <w:t>, </w:t>
      </w:r>
      <w:r w:rsidRPr="009E50D8">
        <w:rPr>
          <w:i/>
          <w:iCs/>
          <w:color w:val="222222"/>
          <w:shd w:val="clear" w:color="auto" w:fill="FFFFFF"/>
        </w:rPr>
        <w:t>32</w:t>
      </w:r>
      <w:r w:rsidRPr="009E50D8">
        <w:rPr>
          <w:color w:val="222222"/>
          <w:shd w:val="clear" w:color="auto" w:fill="FFFFFF"/>
        </w:rPr>
        <w:t>(4), 543-561.</w:t>
      </w:r>
    </w:p>
    <w:sectPr w:rsidR="007D37D1" w:rsidRPr="009E50D8" w:rsidSect="008519DA">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4E47" w14:textId="77777777" w:rsidR="00385F42" w:rsidRDefault="00385F42" w:rsidP="00385F42">
      <w:pPr>
        <w:spacing w:after="0" w:line="240" w:lineRule="auto"/>
      </w:pPr>
      <w:r>
        <w:separator/>
      </w:r>
    </w:p>
  </w:endnote>
  <w:endnote w:type="continuationSeparator" w:id="0">
    <w:p w14:paraId="55676F63" w14:textId="77777777" w:rsidR="00385F42" w:rsidRDefault="00385F42" w:rsidP="0038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6030" w14:textId="39BB9AC6" w:rsidR="00385F42" w:rsidRPr="00385F42" w:rsidRDefault="00385F42" w:rsidP="00385F42">
    <w:pPr>
      <w:pStyle w:val="Footer"/>
      <w:jc w:val="right"/>
      <w:rPr>
        <w:sz w:val="18"/>
        <w:szCs w:val="20"/>
      </w:rPr>
    </w:pPr>
    <w:r w:rsidRPr="00385F42">
      <w:rPr>
        <w:sz w:val="18"/>
        <w:szCs w:val="20"/>
      </w:rPr>
      <w:t xml:space="preserve">Page </w:t>
    </w:r>
    <w:r w:rsidRPr="00385F42">
      <w:rPr>
        <w:sz w:val="18"/>
        <w:szCs w:val="20"/>
      </w:rPr>
      <w:fldChar w:fldCharType="begin"/>
    </w:r>
    <w:r w:rsidRPr="00385F42">
      <w:rPr>
        <w:sz w:val="18"/>
        <w:szCs w:val="20"/>
      </w:rPr>
      <w:instrText xml:space="preserve"> page </w:instrText>
    </w:r>
    <w:r w:rsidRPr="00385F42">
      <w:rPr>
        <w:sz w:val="18"/>
        <w:szCs w:val="20"/>
      </w:rPr>
      <w:fldChar w:fldCharType="separate"/>
    </w:r>
    <w:r w:rsidRPr="00385F42">
      <w:rPr>
        <w:noProof/>
        <w:sz w:val="18"/>
        <w:szCs w:val="20"/>
      </w:rPr>
      <w:t>1</w:t>
    </w:r>
    <w:r w:rsidRPr="00385F42">
      <w:rPr>
        <w:sz w:val="18"/>
        <w:szCs w:val="20"/>
      </w:rPr>
      <w:fldChar w:fldCharType="end"/>
    </w:r>
    <w:r w:rsidRPr="00385F42">
      <w:rPr>
        <w:sz w:val="18"/>
        <w:szCs w:val="20"/>
      </w:rPr>
      <w:t xml:space="preserve"> | </w:t>
    </w:r>
    <w:r w:rsidRPr="00385F42">
      <w:rPr>
        <w:sz w:val="18"/>
        <w:szCs w:val="20"/>
      </w:rPr>
      <w:fldChar w:fldCharType="begin"/>
    </w:r>
    <w:r w:rsidRPr="00385F42">
      <w:rPr>
        <w:sz w:val="18"/>
        <w:szCs w:val="20"/>
      </w:rPr>
      <w:instrText xml:space="preserve"> numpages </w:instrText>
    </w:r>
    <w:r w:rsidRPr="00385F42">
      <w:rPr>
        <w:sz w:val="18"/>
        <w:szCs w:val="20"/>
      </w:rPr>
      <w:fldChar w:fldCharType="separate"/>
    </w:r>
    <w:r w:rsidRPr="00385F42">
      <w:rPr>
        <w:noProof/>
        <w:sz w:val="18"/>
        <w:szCs w:val="20"/>
      </w:rPr>
      <w:t>4</w:t>
    </w:r>
    <w:r w:rsidRPr="00385F42">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37F8" w14:textId="77777777" w:rsidR="00385F42" w:rsidRDefault="00385F42" w:rsidP="00385F42">
      <w:pPr>
        <w:spacing w:after="0" w:line="240" w:lineRule="auto"/>
      </w:pPr>
      <w:r>
        <w:separator/>
      </w:r>
    </w:p>
  </w:footnote>
  <w:footnote w:type="continuationSeparator" w:id="0">
    <w:p w14:paraId="1DFB7F6F" w14:textId="77777777" w:rsidR="00385F42" w:rsidRDefault="00385F42" w:rsidP="00385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AA0"/>
    <w:multiLevelType w:val="hybridMultilevel"/>
    <w:tmpl w:val="0C3EF4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713100"/>
    <w:multiLevelType w:val="hybridMultilevel"/>
    <w:tmpl w:val="1B46B2BC"/>
    <w:lvl w:ilvl="0" w:tplc="8334C21E">
      <w:start w:val="1"/>
      <w:numFmt w:val="decimal"/>
      <w:lvlText w:val="%1."/>
      <w:lvlJc w:val="left"/>
      <w:pPr>
        <w:ind w:left="720" w:hanging="360"/>
      </w:pPr>
      <w:rPr>
        <w:rFonts w:ascii="Arial" w:hAnsi="Arial" w:cs="Arial"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094CAF"/>
    <w:multiLevelType w:val="multilevel"/>
    <w:tmpl w:val="3AE6E2DE"/>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693362">
    <w:abstractNumId w:val="2"/>
  </w:num>
  <w:num w:numId="2" w16cid:durableId="1581525294">
    <w:abstractNumId w:val="1"/>
  </w:num>
  <w:num w:numId="3" w16cid:durableId="166192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D1"/>
    <w:rsid w:val="000F4891"/>
    <w:rsid w:val="00280814"/>
    <w:rsid w:val="002B7A6C"/>
    <w:rsid w:val="002E222F"/>
    <w:rsid w:val="00385F42"/>
    <w:rsid w:val="003D75B0"/>
    <w:rsid w:val="0040111B"/>
    <w:rsid w:val="00414BDA"/>
    <w:rsid w:val="00434CC0"/>
    <w:rsid w:val="00442B8E"/>
    <w:rsid w:val="00493FCD"/>
    <w:rsid w:val="00504A13"/>
    <w:rsid w:val="005502C1"/>
    <w:rsid w:val="005805A1"/>
    <w:rsid w:val="005D5288"/>
    <w:rsid w:val="00627A83"/>
    <w:rsid w:val="006361EF"/>
    <w:rsid w:val="00650194"/>
    <w:rsid w:val="00730033"/>
    <w:rsid w:val="007418E4"/>
    <w:rsid w:val="0077544D"/>
    <w:rsid w:val="007A7253"/>
    <w:rsid w:val="007D37D1"/>
    <w:rsid w:val="008519DA"/>
    <w:rsid w:val="009270CC"/>
    <w:rsid w:val="00942D68"/>
    <w:rsid w:val="00970D5A"/>
    <w:rsid w:val="009C64D9"/>
    <w:rsid w:val="009E50D8"/>
    <w:rsid w:val="00AA3812"/>
    <w:rsid w:val="00C56DB0"/>
    <w:rsid w:val="00C62615"/>
    <w:rsid w:val="00C646A8"/>
    <w:rsid w:val="00CD3CF9"/>
    <w:rsid w:val="00DB1A30"/>
    <w:rsid w:val="00E41002"/>
    <w:rsid w:val="00E5553A"/>
    <w:rsid w:val="00E66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0D55"/>
  <w15:chartTrackingRefBased/>
  <w15:docId w15:val="{48A6DB77-FB20-C44C-9E69-5379C6C8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F42"/>
    <w:pPr>
      <w:keepLines/>
      <w:spacing w:after="240" w:line="312" w:lineRule="auto"/>
    </w:pPr>
    <w:rPr>
      <w:rFonts w:eastAsia="Times New Roman" w:cs="Times New Roman"/>
      <w:sz w:val="22"/>
      <w:lang w:eastAsia="en-GB"/>
    </w:rPr>
  </w:style>
  <w:style w:type="paragraph" w:styleId="Heading1">
    <w:name w:val="heading 1"/>
    <w:basedOn w:val="Normal"/>
    <w:next w:val="Normal"/>
    <w:link w:val="Heading1Char"/>
    <w:uiPriority w:val="9"/>
    <w:qFormat/>
    <w:rsid w:val="00385F42"/>
    <w:pPr>
      <w:keepNext/>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D1"/>
    <w:pPr>
      <w:ind w:left="720"/>
      <w:contextualSpacing/>
    </w:pPr>
    <w:rPr>
      <w:rFonts w:ascii="Cambria" w:eastAsia="Cambria" w:hAnsi="Cambria" w:cs="Cambria"/>
      <w:lang w:eastAsia="es-ES"/>
    </w:rPr>
  </w:style>
  <w:style w:type="character" w:styleId="CommentReference">
    <w:name w:val="annotation reference"/>
    <w:basedOn w:val="DefaultParagraphFont"/>
    <w:uiPriority w:val="99"/>
    <w:semiHidden/>
    <w:unhideWhenUsed/>
    <w:rsid w:val="007D37D1"/>
    <w:rPr>
      <w:sz w:val="18"/>
      <w:szCs w:val="18"/>
    </w:rPr>
  </w:style>
  <w:style w:type="paragraph" w:styleId="CommentText">
    <w:name w:val="annotation text"/>
    <w:basedOn w:val="Normal"/>
    <w:link w:val="CommentTextChar"/>
    <w:uiPriority w:val="99"/>
    <w:semiHidden/>
    <w:unhideWhenUsed/>
    <w:rsid w:val="007D37D1"/>
    <w:rPr>
      <w:rFonts w:ascii="Cambria" w:eastAsia="Cambria" w:hAnsi="Cambria" w:cs="Cambria"/>
      <w:lang w:eastAsia="es-ES"/>
    </w:rPr>
  </w:style>
  <w:style w:type="character" w:customStyle="1" w:styleId="CommentTextChar">
    <w:name w:val="Comment Text Char"/>
    <w:basedOn w:val="DefaultParagraphFont"/>
    <w:link w:val="CommentText"/>
    <w:uiPriority w:val="99"/>
    <w:semiHidden/>
    <w:rsid w:val="007D37D1"/>
    <w:rPr>
      <w:rFonts w:ascii="Cambria" w:eastAsia="Cambria" w:hAnsi="Cambria" w:cs="Cambria"/>
      <w:lang w:eastAsia="es-ES"/>
    </w:rPr>
  </w:style>
  <w:style w:type="character" w:styleId="PlaceholderText">
    <w:name w:val="Placeholder Text"/>
    <w:basedOn w:val="DefaultParagraphFont"/>
    <w:uiPriority w:val="99"/>
    <w:semiHidden/>
    <w:rsid w:val="007A7253"/>
    <w:rPr>
      <w:color w:val="808080"/>
    </w:rPr>
  </w:style>
  <w:style w:type="character" w:customStyle="1" w:styleId="Heading1Char">
    <w:name w:val="Heading 1 Char"/>
    <w:basedOn w:val="DefaultParagraphFont"/>
    <w:link w:val="Heading1"/>
    <w:uiPriority w:val="9"/>
    <w:rsid w:val="00385F42"/>
    <w:rPr>
      <w:rFonts w:asciiTheme="majorHAnsi" w:eastAsiaTheme="majorEastAsia" w:hAnsiTheme="majorHAnsi" w:cstheme="majorBidi"/>
      <w:color w:val="2F5496" w:themeColor="accent1" w:themeShade="BF"/>
      <w:sz w:val="32"/>
      <w:szCs w:val="32"/>
      <w:lang w:eastAsia="en-GB"/>
    </w:rPr>
  </w:style>
  <w:style w:type="paragraph" w:styleId="Title">
    <w:name w:val="Title"/>
    <w:basedOn w:val="Normal"/>
    <w:next w:val="Normal"/>
    <w:link w:val="TitleChar"/>
    <w:uiPriority w:val="10"/>
    <w:qFormat/>
    <w:rsid w:val="00385F42"/>
    <w:pPr>
      <w:spacing w:after="0" w:line="240" w:lineRule="auto"/>
      <w:contextualSpacing/>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385F42"/>
    <w:rPr>
      <w:rFonts w:asciiTheme="majorHAnsi" w:eastAsiaTheme="majorEastAsia" w:hAnsiTheme="majorHAnsi" w:cstheme="majorBidi"/>
      <w:spacing w:val="-10"/>
      <w:kern w:val="28"/>
      <w:sz w:val="40"/>
      <w:szCs w:val="40"/>
      <w:lang w:eastAsia="en-GB"/>
    </w:rPr>
  </w:style>
  <w:style w:type="paragraph" w:styleId="Header">
    <w:name w:val="header"/>
    <w:basedOn w:val="Normal"/>
    <w:link w:val="HeaderChar"/>
    <w:uiPriority w:val="99"/>
    <w:unhideWhenUsed/>
    <w:rsid w:val="00385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F42"/>
    <w:rPr>
      <w:rFonts w:eastAsia="Times New Roman" w:cs="Times New Roman"/>
      <w:sz w:val="22"/>
      <w:lang w:eastAsia="en-GB"/>
    </w:rPr>
  </w:style>
  <w:style w:type="paragraph" w:styleId="Footer">
    <w:name w:val="footer"/>
    <w:basedOn w:val="Normal"/>
    <w:link w:val="FooterChar"/>
    <w:uiPriority w:val="99"/>
    <w:unhideWhenUsed/>
    <w:rsid w:val="00385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F42"/>
    <w:rPr>
      <w:rFonts w:eastAsia="Times New Roman" w:cs="Times New Roman"/>
      <w:sz w:val="22"/>
      <w:lang w:eastAsia="en-GB"/>
    </w:rPr>
  </w:style>
  <w:style w:type="character" w:styleId="Hyperlink">
    <w:name w:val="Hyperlink"/>
    <w:basedOn w:val="DefaultParagraphFont"/>
    <w:uiPriority w:val="99"/>
    <w:unhideWhenUsed/>
    <w:rsid w:val="008519DA"/>
    <w:rPr>
      <w:color w:val="0563C1" w:themeColor="hyperlink"/>
      <w:u w:val="single"/>
    </w:rPr>
  </w:style>
  <w:style w:type="character" w:styleId="UnresolvedMention">
    <w:name w:val="Unresolved Mention"/>
    <w:basedOn w:val="DefaultParagraphFont"/>
    <w:uiPriority w:val="99"/>
    <w:semiHidden/>
    <w:unhideWhenUsed/>
    <w:rsid w:val="00851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4602">
      <w:bodyDiv w:val="1"/>
      <w:marLeft w:val="0"/>
      <w:marRight w:val="0"/>
      <w:marTop w:val="0"/>
      <w:marBottom w:val="0"/>
      <w:divBdr>
        <w:top w:val="none" w:sz="0" w:space="0" w:color="auto"/>
        <w:left w:val="none" w:sz="0" w:space="0" w:color="auto"/>
        <w:bottom w:val="none" w:sz="0" w:space="0" w:color="auto"/>
        <w:right w:val="none" w:sz="0" w:space="0" w:color="auto"/>
      </w:divBdr>
    </w:div>
    <w:div w:id="668409961">
      <w:bodyDiv w:val="1"/>
      <w:marLeft w:val="0"/>
      <w:marRight w:val="0"/>
      <w:marTop w:val="0"/>
      <w:marBottom w:val="0"/>
      <w:divBdr>
        <w:top w:val="none" w:sz="0" w:space="0" w:color="auto"/>
        <w:left w:val="none" w:sz="0" w:space="0" w:color="auto"/>
        <w:bottom w:val="none" w:sz="0" w:space="0" w:color="auto"/>
        <w:right w:val="none" w:sz="0" w:space="0" w:color="auto"/>
      </w:divBdr>
    </w:div>
    <w:div w:id="724259926">
      <w:bodyDiv w:val="1"/>
      <w:marLeft w:val="0"/>
      <w:marRight w:val="0"/>
      <w:marTop w:val="0"/>
      <w:marBottom w:val="0"/>
      <w:divBdr>
        <w:top w:val="none" w:sz="0" w:space="0" w:color="auto"/>
        <w:left w:val="none" w:sz="0" w:space="0" w:color="auto"/>
        <w:bottom w:val="none" w:sz="0" w:space="0" w:color="auto"/>
        <w:right w:val="none" w:sz="0" w:space="0" w:color="auto"/>
      </w:divBdr>
    </w:div>
    <w:div w:id="779496156">
      <w:bodyDiv w:val="1"/>
      <w:marLeft w:val="0"/>
      <w:marRight w:val="0"/>
      <w:marTop w:val="0"/>
      <w:marBottom w:val="0"/>
      <w:divBdr>
        <w:top w:val="none" w:sz="0" w:space="0" w:color="auto"/>
        <w:left w:val="none" w:sz="0" w:space="0" w:color="auto"/>
        <w:bottom w:val="none" w:sz="0" w:space="0" w:color="auto"/>
        <w:right w:val="none" w:sz="0" w:space="0" w:color="auto"/>
      </w:divBdr>
    </w:div>
    <w:div w:id="897129555">
      <w:bodyDiv w:val="1"/>
      <w:marLeft w:val="0"/>
      <w:marRight w:val="0"/>
      <w:marTop w:val="0"/>
      <w:marBottom w:val="0"/>
      <w:divBdr>
        <w:top w:val="none" w:sz="0" w:space="0" w:color="auto"/>
        <w:left w:val="none" w:sz="0" w:space="0" w:color="auto"/>
        <w:bottom w:val="none" w:sz="0" w:space="0" w:color="auto"/>
        <w:right w:val="none" w:sz="0" w:space="0" w:color="auto"/>
      </w:divBdr>
    </w:div>
    <w:div w:id="10793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dc.ceh.ac.uk/licences/OGL/plain" TargetMode="External"/><Relationship Id="rId3" Type="http://schemas.openxmlformats.org/officeDocument/2006/relationships/settings" Target="settings.xml"/><Relationship Id="rId7" Type="http://schemas.openxmlformats.org/officeDocument/2006/relationships/hyperlink" Target="https://doi.org/10.5285/7e35e760-0ca2-4290-8970-464ead0305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Salgado Bonnet</dc:creator>
  <cp:keywords/>
  <dc:description/>
  <cp:lastModifiedBy>Philip Trembath</cp:lastModifiedBy>
  <cp:revision>7</cp:revision>
  <dcterms:created xsi:type="dcterms:W3CDTF">2022-07-13T13:35:00Z</dcterms:created>
  <dcterms:modified xsi:type="dcterms:W3CDTF">2022-08-30T11:44:00Z</dcterms:modified>
</cp:coreProperties>
</file>