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14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HƯỚNG DẪN NHẬP LẬP PHIẾU BÁO NỢ</w:t>
      </w:r>
    </w:p>
    <w:p w:rsidR="00000000" w:rsidDel="00000000" w:rsidP="00000000" w:rsidRDefault="00000000" w:rsidRPr="00000000" w14:paraId="00000015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line="360" w:lineRule="auto"/>
        <w:jc w:val="center"/>
        <w:rPr>
          <w:sz w:val="30"/>
          <w:szCs w:val="30"/>
        </w:rPr>
      </w:pPr>
      <w:bookmarkStart w:colFirst="0" w:colLast="0" w:name="_heading=h.ghjthdo5i1" w:id="2"/>
      <w:bookmarkEnd w:id="2"/>
      <w:r w:rsidDel="00000000" w:rsidR="00000000" w:rsidRPr="00000000">
        <w:rPr>
          <w:sz w:val="30"/>
          <w:szCs w:val="30"/>
          <w:rtl w:val="0"/>
        </w:rPr>
        <w:t xml:space="preserve">MỤC LỤC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pp2hmg1qzp5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1: Thêm mới chứng từ báo nợ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_heading=h.pp2hmg1qzp5y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ckwvw4gwsdr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2: Khai báo chi tiết thông tin chứng từ báo nợ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_heading=h.ckwvw4gwsdro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6"/>
              <w:szCs w:val="26"/>
            </w:rPr>
          </w:pPr>
          <w:hyperlink w:anchor="_heading=h.s4pke1t6guk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3: Lưu dữ liệu vừa khai báo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_heading=h.s4pke1t6guk4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6"/>
              <w:szCs w:val="26"/>
            </w:rPr>
          </w:pPr>
          <w:hyperlink w:anchor="_heading=h.6cafpj5ud9b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4: In các biểu mẫu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_heading=h.6cafpj5ud9bq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nc0veblir9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5: Kiểm tra các báo cáo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_heading=h.mnc0veblir9t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line="360" w:lineRule="auto"/>
        <w:rPr/>
      </w:pPr>
      <w:bookmarkStart w:colFirst="0" w:colLast="0" w:name="_heading=h.coog58pqrw0t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pp2hmg1qzp5y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Bước 1: Thêm mới chứng từ báo </w:t>
      </w:r>
      <w:r w:rsidDel="00000000" w:rsidR="00000000" w:rsidRPr="00000000">
        <w:rPr>
          <w:rtl w:val="0"/>
        </w:rPr>
        <w:t xml:space="preserve">nợ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Caudex" w:cs="Caudex" w:eastAsia="Caudex" w:hAnsi="Caudex"/>
              <w:sz w:val="26"/>
              <w:szCs w:val="26"/>
              <w:rtl w:val="0"/>
            </w:rPr>
            <w:t xml:space="preserve">Vào phân hệ Tiền mặt và Ngân hàng ⇒  chọn Báo nợ  ⇒  nhấn Thêm</w:t>
          </w:r>
        </w:sdtContent>
      </w:sdt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86100"/>
            <wp:effectExtent b="0" l="0" r="0" t="0"/>
            <wp:docPr id="2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73400"/>
            <wp:effectExtent b="0" l="0" r="0" t="0"/>
            <wp:docPr id="2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line="360" w:lineRule="auto"/>
        <w:rPr/>
      </w:pPr>
      <w:bookmarkStart w:colFirst="0" w:colLast="0" w:name="_heading=h.ckwvw4gwsdro" w:id="5"/>
      <w:bookmarkEnd w:id="5"/>
      <w:r w:rsidDel="00000000" w:rsidR="00000000" w:rsidRPr="00000000">
        <w:rPr>
          <w:rtl w:val="0"/>
        </w:rPr>
        <w:t xml:space="preserve">Bước 2: Khai báo chi tiết thông tin chứng từ báo nợ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Khai báo đầy đủ các thông tin theo từng khu vực như sau: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Thông tin chung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Tài khoản trả - chọn tài khoản trả có sẵn trong danh mục hoặc thêm nhanh mới bằng dấu +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Nội dung thanh toán - mặc định là “Chi tiền từ TGNH” hoặc có thể tự tùy chỉnh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Đối tượng nhận - click vào dấu mũi tên xuống để chọn đối tượng nộp tiền có sẵn trong danh mục đối tượng, hoặc thêm nhanh bằng dấu +. Khi đó thông tin đối tượng, địa chỉ nhận sẽ được tự động lấy từ danh mục Đối tượng.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Tài khoản nhận - nhảy theo danh mục của đối tượng đã khai báo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Nhân viên - chọn nhân viên theo dõi (nếu có)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Chứng từ: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chứng từ - tự động sinh theo số tiếp theo (có thể tự nhập lại)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Ngày chứng từ - lấy ngày hiện tại hoặc ngày chứng từ theo cài đặt từ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Hàng tiền - chi tiết chứng từ, nhập nội dung chi tiền như sau 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Diễn giải -  tự động lấy nội dung ở nội dung thanh toán hoặc tự tùy chỉnh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Cột số tiền - số tiền chi vào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Phân loại nghiệp vụ - chọn nghiệp vụ đã có trong danh mục. Cụ thể Phân loại nghiệp vụ là: Chi cho nhà cung cấp bằng tiền gửi ngân hàng.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Bổ sung thêm thông tin chi tiết (nếu có): Khoản mục chi phí, địa điểm kinh doanh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Ấn thêm dòng mới để nhập thêm dòng hoặc nhấn chuột phải để thêm dòng, sao chép dòng hoặc xóa dòng.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Ví dụ: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Ngày 10/03/2022, trả tiền mua hàng cho CÔNG TY TNHH MỘT THÀNH VIÊN 751 bằng tiền gửi ngân hàng, số tiền là 15.200.000 VNĐ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22600"/>
            <wp:effectExtent b="0" l="0" r="0" t="0"/>
            <wp:docPr id="2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line="360" w:lineRule="auto"/>
        <w:rPr/>
      </w:pPr>
      <w:bookmarkStart w:colFirst="0" w:colLast="0" w:name="_heading=h.9agtyatfv23x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line="360" w:lineRule="auto"/>
        <w:rPr/>
      </w:pPr>
      <w:bookmarkStart w:colFirst="0" w:colLast="0" w:name="_heading=h.s4pke1t6guk4" w:id="7"/>
      <w:bookmarkEnd w:id="7"/>
      <w:r w:rsidDel="00000000" w:rsidR="00000000" w:rsidRPr="00000000">
        <w:rPr>
          <w:rtl w:val="0"/>
        </w:rPr>
        <w:t xml:space="preserve">Bước 3: Lưu dữ liệu vừa khai báo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hạch toán xong, ấn lưu bên góc trái màn hình hoặc ấn Khác ⇒ chọn Lưu và thêm để thêm mới báo nợ khác.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22600"/>
            <wp:effectExtent b="0" l="0" r="0" t="0"/>
            <wp:docPr id="2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wl0t2cizo3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60" w:lineRule="auto"/>
        <w:rPr/>
      </w:pPr>
      <w:bookmarkStart w:colFirst="0" w:colLast="0" w:name="_heading=h.4n64h8dcoum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line="360" w:lineRule="auto"/>
        <w:rPr/>
      </w:pPr>
      <w:bookmarkStart w:colFirst="0" w:colLast="0" w:name="_heading=h.6cafpj5ud9bq" w:id="10"/>
      <w:bookmarkEnd w:id="10"/>
      <w:r w:rsidDel="00000000" w:rsidR="00000000" w:rsidRPr="00000000">
        <w:rPr>
          <w:rtl w:val="0"/>
        </w:rPr>
        <w:t xml:space="preserve">Bước 4: In các biểu mẫu có liên quan</w:t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dữ liệu đã được lưu, Click vào “In” để in các biểu mẫu có liên quan</w:t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360" w:lineRule="auto"/>
        <w:rPr/>
      </w:pPr>
      <w:bookmarkStart w:colFirst="0" w:colLast="0" w:name="_heading=h.4l0jvbach7a9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line="360" w:lineRule="auto"/>
        <w:rPr/>
      </w:pPr>
      <w:bookmarkStart w:colFirst="0" w:colLast="0" w:name="_heading=h.mnc0veblir9t" w:id="12"/>
      <w:bookmarkEnd w:id="12"/>
      <w:r w:rsidDel="00000000" w:rsidR="00000000" w:rsidRPr="00000000">
        <w:rPr>
          <w:rtl w:val="0"/>
        </w:rPr>
        <w:t xml:space="preserve">Bước 5: Kiểm tra các báo cáo có liên quan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menu chức năng, chọn danh mục “Báo cáo” ⇒ Nhấn chọn các báo cáo có liên quan như Báo cáo Sổ tiền gửi ngân hàng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09900"/>
            <wp:effectExtent b="0" l="0" r="0" t="0"/>
            <wp:docPr id="2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29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Y/NqTbtgg3PV9a9JLiPTNKhnyA==">AMUW2mVS9vHDQTdp1equN5SjgEF80LwDenDPYhvFGZdxWBQg+9rGMYgtyxCAWT7t6Z02KWRiBnFCH7D0lmDn4dCOH4BZSd4WS3Z6dFclDG+PEkiWCB5DcxkgbqYXqQ92osDnnEQI0QzliAmwMA5QMN87eNE6pLsUzIe2MW5dRRkn2dmfVvUG73H+F9NWBK/suidhDMEulaSDpzEV51Q1j2SK4AZIsWUgFmV7/blIB53C9hJo/70W+pAlUMyYMgKs1NuCH/q04TYtyAgw5k6Nl9RBUY+agdLgoY2JxwTwtD70gfR1DhMpFB1iampNsHWpIjxXFQhFOpf+Wt1OwiUKMSsuH+zKe2H3lnwjN0hN9fNjYQTYvDxaSD0aZgFp8c0YK8PWOMHLHPGNy+IEu5c25VnBIURgjtbNWCR+8PAh04SqRw3z1N6NDf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