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Arial" w:cs="Arial" w:eastAsia="Arial" w:hAnsi="Arial"/>
          <w:b/>
          <w:bCs/>
          <w:color w:val="003366"/>
          <w:sz w:val="32"/>
          <w:szCs w:val="32"/>
        </w:rPr>
        <w:t xml:space="preserve">TÀI LIỆU ĐỀ XUẤT GIẢI PHÁP &amp; BÁO GIÁ THƯƠNG MẠI</w:t>
      </w:r>
    </w:p>
    <w:p>
      <w:pPr>
        <w:spacing w:after="400"/>
        <w:jc w:val="center"/>
      </w:pPr>
      <w:r>
        <w:rPr>
          <w:rFonts w:ascii="Arial" w:cs="Arial" w:eastAsia="Arial" w:hAnsi="Arial"/>
          <w:b/>
          <w:bCs/>
          <w:color w:val="0055A5"/>
          <w:sz w:val="24"/>
          <w:szCs w:val="24"/>
        </w:rPr>
        <w:t xml:space="preserve">MODULE KHÁM SỨC KHỎE, KÝ SỐ HÀNG LOẠT &amp; LIÊN THÔNG VNeID (QĐ 1551/QĐ-BYT)</w:t>
      </w:r>
    </w:p>
    <w:p>
      <w:pPr>
        <w:pStyle w:val="Heading1"/>
      </w:pPr>
      <w:r>
        <w:t xml:space="preserve">I. TỔNG QUAN GIẢI PHÁP</w:t>
      </w:r>
    </w:p>
    <w:p>
      <w:pPr>
        <w:spacing w:after="200"/>
      </w:pPr>
      <w:r>
        <w:rPr>
          <w:rFonts w:ascii="Arial" w:cs="Arial" w:eastAsia="Arial" w:hAnsi="Arial"/>
          <w:sz w:val="22"/>
          <w:szCs w:val="22"/>
        </w:rPr>
        <w:t xml:space="preserve">Phân hệ Khám sức khỏe (VIMES Health Check Sync &amp; LIMS Sample Tracking) là giải pháp toàn diện hỗ trợ các Bệnh viện, Phòng khám quản lý tập trung toàn bộ quy trình khám sức khỏe cá nhân, khám sức khỏe doanh nghiệp/khám đoàn, tự động hóa nhập liệu cận lâm sàng từ HIS, ký số hàng loạt chuẩn pháp lý và liên thông dữ liệu trực tiếp với Cổng thông tin Bộ Y tế (VNeID) theo Quyết định 1551/QĐ-BYT.</w:t>
      </w:r>
    </w:p>
    <w:p>
      <w:pPr>
        <w:pStyle w:val="Heading1"/>
      </w:pPr>
      <w:r>
        <w:t xml:space="preserve">II. CHỨC NĂNG CHI TIẾT &amp; USE CASES VẬN HÀNH</w:t>
      </w:r>
    </w:p>
    <w:p>
      <w:pPr>
        <w:pStyle w:val="Heading2"/>
      </w:pPr>
      <w:r>
        <w:t xml:space="preserve">1. Phân hệ Tiếp nhận &amp; Đồng bộ Khám đoàn / Khám cá nhân</w:t>
      </w:r>
    </w:p>
    <w:p>
      <w:pPr>
        <w:pStyle w:val="ListParagraph"/>
        <w:numPr>
          <w:ilvl w:val="0"/>
          <w:numId w:val="1"/>
        </w:numPr>
        <w:spacing w:after="60" w:before="60"/>
      </w:pPr>
      <w:r>
        <w:rPr>
          <w:rFonts w:ascii="Arial" w:cs="Arial" w:eastAsia="Arial" w:hAnsi="Arial"/>
          <w:b/>
          <w:bCs/>
          <w:color w:val="003366"/>
          <w:sz w:val="22"/>
          <w:szCs w:val="22"/>
        </w:rPr>
        <w:t xml:space="preserve">UC-01: Đồng bộ dữ liệu tiếp nhận từ HIS </w:t>
      </w:r>
      <w:r>
        <w:rPr>
          <w:rFonts w:ascii="Arial" w:cs="Arial" w:eastAsia="Arial" w:hAnsi="Arial"/>
          <w:sz w:val="22"/>
          <w:szCs w:val="22"/>
        </w:rPr>
        <w:t xml:space="preserve">Tự động truy vấn danh sách bệnh nhân từ hệ thống Tiếp nhận HIS theo khoảng thời gian hoặc theo gói khám đoàn doanh nghiệp.</w:t>
      </w:r>
    </w:p>
    <w:p>
      <w:pPr>
        <w:pStyle w:val="ListParagraph"/>
        <w:numPr>
          <w:ilvl w:val="0"/>
          <w:numId w:val="1"/>
        </w:numPr>
        <w:spacing w:after="60" w:before="60"/>
      </w:pPr>
      <w:r>
        <w:rPr>
          <w:rFonts w:ascii="Arial" w:cs="Arial" w:eastAsia="Arial" w:hAnsi="Arial"/>
          <w:b/>
          <w:bCs/>
          <w:color w:val="003366"/>
          <w:sz w:val="22"/>
          <w:szCs w:val="22"/>
        </w:rPr>
        <w:t xml:space="preserve">UC-02: Tìm kiếm &amp; Khởi tạo hồ sơ </w:t>
      </w:r>
      <w:r>
        <w:rPr>
          <w:rFonts w:ascii="Arial" w:cs="Arial" w:eastAsia="Arial" w:hAnsi="Arial"/>
          <w:sz w:val="22"/>
          <w:szCs w:val="22"/>
        </w:rPr>
        <w:t xml:space="preserve">Tìm kiếm nhanh theo Số CCCD, Mã hồ sơ (MHS), SĐT hoặc truy vấn trực tiếp dữ liệu bệnh nhân từ HIS.</w:t>
      </w:r>
    </w:p>
    <w:p>
      <w:pPr>
        <w:pStyle w:val="ListParagraph"/>
        <w:numPr>
          <w:ilvl w:val="0"/>
          <w:numId w:val="1"/>
        </w:numPr>
        <w:spacing w:after="60" w:before="60"/>
      </w:pPr>
      <w:r>
        <w:rPr>
          <w:rFonts w:ascii="Arial" w:cs="Arial" w:eastAsia="Arial" w:hAnsi="Arial"/>
          <w:b/>
          <w:bCs/>
          <w:color w:val="003366"/>
          <w:sz w:val="22"/>
          <w:szCs w:val="22"/>
        </w:rPr>
        <w:t xml:space="preserve">UC-03: Tự động nạp 3 Form biểu mẫu chuẩn Bộ Y tế </w:t>
      </w:r>
      <w:r>
        <w:rPr>
          <w:rFonts w:ascii="Arial" w:cs="Arial" w:eastAsia="Arial" w:hAnsi="Arial"/>
          <w:sz w:val="22"/>
          <w:szCs w:val="22"/>
        </w:rPr>
        <w:t xml:space="preserve">Tự động nạp đúng mẫu biểu tương thích: Mẫu 1 (Trẻ em 6T - dưới 18T), Mẫu 2 (Người lớn &gt;= 18T), Mẫu 3 (Khám sức khỏe Lái xe).</w:t>
      </w:r>
    </w:p>
    <w:p>
      <w:pPr>
        <w:pStyle w:val="Heading2"/>
      </w:pPr>
      <w:r>
        <w:t xml:space="preserve">2. Phân hệ Nhập liệu Khám Lâm sàng &amp; Tự động hóa</w:t>
      </w:r>
    </w:p>
    <w:p>
      <w:pPr>
        <w:pStyle w:val="ListParagraph"/>
        <w:numPr>
          <w:ilvl w:val="0"/>
          <w:numId w:val="1"/>
        </w:numPr>
        <w:spacing w:after="60" w:before="60"/>
      </w:pPr>
      <w:r>
        <w:rPr>
          <w:rFonts w:ascii="Arial" w:cs="Arial" w:eastAsia="Arial" w:hAnsi="Arial"/>
          <w:b/>
          <w:bCs/>
          <w:color w:val="003366"/>
          <w:sz w:val="22"/>
          <w:szCs w:val="22"/>
        </w:rPr>
        <w:t xml:space="preserve">UC-04: Quản lý chi tiết các Tab chuyên khoa (Tab I - V) </w:t>
      </w:r>
      <w:r>
        <w:rPr>
          <w:rFonts w:ascii="Arial" w:cs="Arial" w:eastAsia="Arial" w:hAnsi="Arial"/>
          <w:sz w:val="22"/>
          <w:szCs w:val="22"/>
        </w:rPr>
        <w:t xml:space="preserve">Nhập liệu đầy đủ Tiền sử, Thể lực, Lâm sàng (Nội, Ngoại, Mắt, Tai Mũi Họng, Răng Hàm Mặt, Lái xe...), Cận lâm sàng và Kết luận.</w:t>
      </w:r>
    </w:p>
    <w:p>
      <w:pPr>
        <w:pStyle w:val="ListParagraph"/>
        <w:numPr>
          <w:ilvl w:val="0"/>
          <w:numId w:val="1"/>
        </w:numPr>
        <w:spacing w:after="60" w:before="60"/>
      </w:pPr>
      <w:r>
        <w:rPr>
          <w:rFonts w:ascii="Arial" w:cs="Arial" w:eastAsia="Arial" w:hAnsi="Arial"/>
          <w:b/>
          <w:bCs/>
          <w:color w:val="003366"/>
          <w:sz w:val="22"/>
          <w:szCs w:val="22"/>
        </w:rPr>
        <w:t xml:space="preserve">UC-05: Điền nhanh kết quả mặc định (1-Click) </w:t>
      </w:r>
      <w:r>
        <w:rPr>
          <w:rFonts w:ascii="Arial" w:cs="Arial" w:eastAsia="Arial" w:hAnsi="Arial"/>
          <w:sz w:val="22"/>
          <w:szCs w:val="22"/>
        </w:rPr>
        <w:t xml:space="preserve">Hỗ trợ 1-Click tự động điền các chỉ số khám lâm sàng bình thường chuẩn, giúp tăng tốc độ khám đoàn lên gấp 5 lần.</w:t>
      </w:r>
    </w:p>
    <w:p>
      <w:pPr>
        <w:pStyle w:val="ListParagraph"/>
        <w:numPr>
          <w:ilvl w:val="0"/>
          <w:numId w:val="1"/>
        </w:numPr>
        <w:spacing w:after="60" w:before="60"/>
      </w:pPr>
      <w:r>
        <w:rPr>
          <w:rFonts w:ascii="Arial" w:cs="Arial" w:eastAsia="Arial" w:hAnsi="Arial"/>
          <w:b/>
          <w:bCs/>
          <w:color w:val="003366"/>
          <w:sz w:val="22"/>
          <w:szCs w:val="22"/>
        </w:rPr>
        <w:t xml:space="preserve">UC-06: Tự động tính chỉ số thể lực (BMI) </w:t>
      </w:r>
      <w:r>
        <w:rPr>
          <w:rFonts w:ascii="Arial" w:cs="Arial" w:eastAsia="Arial" w:hAnsi="Arial"/>
          <w:sz w:val="22"/>
          <w:szCs w:val="22"/>
        </w:rPr>
        <w:t xml:space="preserve">Tự động tính toán chỉ số BMI ngay khi nhân viên y tế nhập Chiều cao và Cân nặng.</w:t>
      </w:r>
    </w:p>
    <w:p>
      <w:pPr>
        <w:pStyle w:val="ListParagraph"/>
        <w:numPr>
          <w:ilvl w:val="0"/>
          <w:numId w:val="1"/>
        </w:numPr>
        <w:spacing w:after="60" w:before="60"/>
      </w:pPr>
      <w:r>
        <w:rPr>
          <w:rFonts w:ascii="Arial" w:cs="Arial" w:eastAsia="Arial" w:hAnsi="Arial"/>
          <w:b/>
          <w:bCs/>
          <w:color w:val="003366"/>
          <w:sz w:val="22"/>
          <w:szCs w:val="22"/>
        </w:rPr>
        <w:t xml:space="preserve">UC-07: Tra cứu &amp; Gợi ý mã bệnh ICD-10 </w:t>
      </w:r>
      <w:r>
        <w:rPr>
          <w:rFonts w:ascii="Arial" w:cs="Arial" w:eastAsia="Arial" w:hAnsi="Arial"/>
          <w:sz w:val="22"/>
          <w:szCs w:val="22"/>
        </w:rPr>
        <w:t xml:space="preserve">Tích hợp công cụ tìm kiếm gợi ý thông minh danh mục mã bệnh chuẩn ICD-10 phục vụ kết luận sức khỏe.</w:t>
      </w:r>
    </w:p>
    <w:p>
      <w:pPr>
        <w:pStyle w:val="Heading2"/>
      </w:pPr>
      <w:r>
        <w:t xml:space="preserve">3. Phân hệ Tích hợp Cận Lâm Sàng &amp; Quản lý Mẫu Xét nghiệm (LIMS)</w:t>
      </w:r>
    </w:p>
    <w:p>
      <w:pPr>
        <w:pStyle w:val="ListParagraph"/>
        <w:numPr>
          <w:ilvl w:val="0"/>
          <w:numId w:val="1"/>
        </w:numPr>
        <w:spacing w:after="60" w:before="60"/>
      </w:pPr>
      <w:r>
        <w:rPr>
          <w:rFonts w:ascii="Arial" w:cs="Arial" w:eastAsia="Arial" w:hAnsi="Arial"/>
          <w:b/>
          <w:bCs/>
          <w:color w:val="003366"/>
          <w:sz w:val="22"/>
          <w:szCs w:val="22"/>
        </w:rPr>
        <w:t xml:space="preserve">UC-08: Đồng bộ chủ động kết quả CLS từ HIS </w:t>
      </w:r>
      <w:r>
        <w:rPr>
          <w:rFonts w:ascii="Arial" w:cs="Arial" w:eastAsia="Arial" w:hAnsi="Arial"/>
          <w:sz w:val="22"/>
          <w:szCs w:val="22"/>
        </w:rPr>
        <w:t xml:space="preserve">1-Click tải toàn bộ kết quả Xét nghiệm, Chẩn đoán hình ảnh (X-quang, Siêu âm, MRI) và Thăm dò chức năng (ECG, Thị lực...) từ HIS vào đúng tab tương ứng mà không làm đè dữ liệu lâm sàng.</w:t>
      </w:r>
    </w:p>
    <w:p>
      <w:pPr>
        <w:pStyle w:val="ListParagraph"/>
        <w:numPr>
          <w:ilvl w:val="0"/>
          <w:numId w:val="1"/>
        </w:numPr>
        <w:spacing w:after="60" w:before="60"/>
      </w:pPr>
      <w:r>
        <w:rPr>
          <w:rFonts w:ascii="Arial" w:cs="Arial" w:eastAsia="Arial" w:hAnsi="Arial"/>
          <w:b/>
          <w:bCs/>
          <w:color w:val="003366"/>
          <w:sz w:val="22"/>
          <w:szCs w:val="22"/>
        </w:rPr>
        <w:t xml:space="preserve">UC-09: Quản lý Giao nhận Mẫu Xét nghiệm (Sample Tracking) </w:t>
      </w:r>
      <w:r>
        <w:rPr>
          <w:rFonts w:ascii="Arial" w:cs="Arial" w:eastAsia="Arial" w:hAnsi="Arial"/>
          <w:sz w:val="22"/>
          <w:szCs w:val="22"/>
        </w:rPr>
        <w:t xml:space="preserve">Hỗ trợ phím tắt thao tác nhanh cho phòng Lab: F2 (Nhận mẫu theo khay/batch), F4 (Xác nhận nhận mẫu), F8 (Từ chối mẫu hỏng/hủy mẫu).</w:t>
      </w:r>
    </w:p>
    <w:p>
      <w:pPr>
        <w:pStyle w:val="ListParagraph"/>
        <w:numPr>
          <w:ilvl w:val="0"/>
          <w:numId w:val="1"/>
        </w:numPr>
        <w:spacing w:after="60" w:before="60"/>
      </w:pPr>
      <w:r>
        <w:rPr>
          <w:rFonts w:ascii="Arial" w:cs="Arial" w:eastAsia="Arial" w:hAnsi="Arial"/>
          <w:b/>
          <w:bCs/>
          <w:color w:val="003366"/>
          <w:sz w:val="22"/>
          <w:szCs w:val="22"/>
        </w:rPr>
        <w:t xml:space="preserve">UC-10: In tem Barcode định danh mẫu xét nghiệm </w:t>
      </w:r>
      <w:r>
        <w:rPr>
          <w:rFonts w:ascii="Arial" w:cs="Arial" w:eastAsia="Arial" w:hAnsi="Arial"/>
          <w:sz w:val="22"/>
          <w:szCs w:val="22"/>
        </w:rPr>
        <w:t xml:space="preserve">Render và in tem nhiệt chuẩn 50x30mm dán ống bệnh phẩm, tích hợp máy phân tích xét nghiệm tự động.</w:t>
      </w:r>
    </w:p>
    <w:p>
      <w:pPr>
        <w:pStyle w:val="Heading2"/>
      </w:pPr>
      <w:r>
        <w:t xml:space="preserve">4. Phân hệ Ký số &amp; Liên thông VNeID (QĐ 1551/QĐ-BYT)</w:t>
      </w:r>
    </w:p>
    <w:p>
      <w:pPr>
        <w:pStyle w:val="ListParagraph"/>
        <w:numPr>
          <w:ilvl w:val="0"/>
          <w:numId w:val="1"/>
        </w:numPr>
        <w:spacing w:after="60" w:before="60"/>
      </w:pPr>
      <w:r>
        <w:rPr>
          <w:rFonts w:ascii="Arial" w:cs="Arial" w:eastAsia="Arial" w:hAnsi="Arial"/>
          <w:b/>
          <w:bCs/>
          <w:color w:val="003366"/>
          <w:sz w:val="22"/>
          <w:szCs w:val="22"/>
        </w:rPr>
        <w:t xml:space="preserve">UC-11: Khóa hồ sơ &amp; Chống sửa đổi </w:t>
      </w:r>
      <w:r>
        <w:rPr>
          <w:rFonts w:ascii="Arial" w:cs="Arial" w:eastAsia="Arial" w:hAnsi="Arial"/>
          <w:sz w:val="22"/>
          <w:szCs w:val="22"/>
        </w:rPr>
        <w:t xml:space="preserve">Khóa dữ liệu hành chính và kết quả sau khi hoàn thiện để đảm bảo tính toàn vẹn pháp lý.</w:t>
      </w:r>
    </w:p>
    <w:p>
      <w:pPr>
        <w:pStyle w:val="ListParagraph"/>
        <w:numPr>
          <w:ilvl w:val="0"/>
          <w:numId w:val="1"/>
        </w:numPr>
        <w:spacing w:after="60" w:before="60"/>
      </w:pPr>
      <w:r>
        <w:rPr>
          <w:rFonts w:ascii="Arial" w:cs="Arial" w:eastAsia="Arial" w:hAnsi="Arial"/>
          <w:b/>
          <w:bCs/>
          <w:color w:val="003366"/>
          <w:sz w:val="22"/>
          <w:szCs w:val="22"/>
        </w:rPr>
        <w:t xml:space="preserve">UC-12: Ký số điện tử hàng loạt (USB Token / Cloud HSM) </w:t>
      </w:r>
      <w:r>
        <w:rPr>
          <w:rFonts w:ascii="Arial" w:cs="Arial" w:eastAsia="Arial" w:hAnsi="Arial"/>
          <w:sz w:val="22"/>
          <w:szCs w:val="22"/>
        </w:rPr>
        <w:t xml:space="preserve">Hỗ trợ ký số hàng trăm hồ sơ cùng lúc thông qua chữ ký số USB Token hoặc Cloud HSM chỉ với một lần xác thực mã PIN.</w:t>
      </w:r>
    </w:p>
    <w:p>
      <w:pPr>
        <w:pStyle w:val="ListParagraph"/>
        <w:numPr>
          <w:ilvl w:val="0"/>
          <w:numId w:val="1"/>
        </w:numPr>
        <w:spacing w:after="60" w:before="60"/>
      </w:pPr>
      <w:r>
        <w:rPr>
          <w:rFonts w:ascii="Arial" w:cs="Arial" w:eastAsia="Arial" w:hAnsi="Arial"/>
          <w:b/>
          <w:bCs/>
          <w:color w:val="003366"/>
          <w:sz w:val="22"/>
          <w:szCs w:val="22"/>
        </w:rPr>
        <w:t xml:space="preserve">UC-13: Đóng gói XML &amp; Đẩy Cổng liên thông VNeID </w:t>
      </w:r>
      <w:r>
        <w:rPr>
          <w:rFonts w:ascii="Arial" w:cs="Arial" w:eastAsia="Arial" w:hAnsi="Arial"/>
          <w:sz w:val="22"/>
          <w:szCs w:val="22"/>
        </w:rPr>
        <w:t xml:space="preserve">Tự động đóng gói chuẩn XML theo QĐ 1551/QĐ-BYT và gửi trực tiếp tới API Cổng liên thông Bộ Y tế, nhận phản hồi Transaction ID real-time.</w:t>
      </w:r>
    </w:p>
    <w:p>
      <w:pPr>
        <w:pStyle w:val="Heading1"/>
      </w:pPr>
      <w:r>
        <w:t xml:space="preserve">III. BỘ CHỈ SỐ KPI ĐO LƯỜNG HIỆU QUẢ VẬN HÀNH</w:t>
      </w:r>
    </w:p>
    <w:p>
      <w:pPr>
        <w:spacing w:after="150"/>
      </w:pPr>
      <w:r>
        <w:rPr>
          <w:rFonts w:ascii="Arial" w:cs="Arial" w:eastAsia="Arial" w:hAnsi="Arial"/>
          <w:sz w:val="22"/>
          <w:szCs w:val="22"/>
        </w:rPr>
        <w:t xml:space="preserve">Hệ thống cam kết mang lại hiệu quả vận hành vượt trội cho Bệnh viện / Phòng khám dựa trên các chỉ số KPI đo lường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3366" w:val="clear"/>
          </w:tcPr>
          <w:p>
            <w:pPr>
              <w:jc w:val="center"/>
            </w:pPr>
            <w:r>
              <w:rPr>
                <w:rFonts w:ascii="Arial" w:cs="Arial" w:eastAsia="Arial" w:hAnsi="Arial"/>
                <w:b/>
                <w:bCs/>
                <w:color w:val="FFFFFF"/>
                <w:sz w:val="20"/>
                <w:szCs w:val="20"/>
              </w:rPr>
              <w:t xml:space="preserve">STT</w:t>
            </w:r>
          </w:p>
        </w:tc>
        <w:tc>
          <w:tcPr>
            <w:shd w:fill="003366" w:val="clear"/>
          </w:tcPr>
          <w:p>
            <w:pPr>
              <w:jc w:val="center"/>
            </w:pPr>
            <w:r>
              <w:rPr>
                <w:rFonts w:ascii="Arial" w:cs="Arial" w:eastAsia="Arial" w:hAnsi="Arial"/>
                <w:b/>
                <w:bCs/>
                <w:color w:val="FFFFFF"/>
                <w:sz w:val="20"/>
                <w:szCs w:val="20"/>
              </w:rPr>
              <w:t xml:space="preserve">Chỉ số KPI Đo lường</w:t>
            </w:r>
          </w:p>
        </w:tc>
        <w:tc>
          <w:tcPr>
            <w:shd w:fill="003366" w:val="clear"/>
          </w:tcPr>
          <w:p>
            <w:pPr>
              <w:jc w:val="center"/>
            </w:pPr>
            <w:r>
              <w:rPr>
                <w:rFonts w:ascii="Arial" w:cs="Arial" w:eastAsia="Arial" w:hAnsi="Arial"/>
                <w:b/>
                <w:bCs/>
                <w:color w:val="FFFFFF"/>
                <w:sz w:val="20"/>
                <w:szCs w:val="20"/>
              </w:rPr>
              <w:t xml:space="preserve">Trước triển khai</w:t>
            </w:r>
          </w:p>
        </w:tc>
        <w:tc>
          <w:tcPr>
            <w:shd w:fill="003366" w:val="clear"/>
          </w:tcPr>
          <w:p>
            <w:pPr>
              <w:jc w:val="center"/>
            </w:pPr>
            <w:r>
              <w:rPr>
                <w:rFonts w:ascii="Arial" w:cs="Arial" w:eastAsia="Arial" w:hAnsi="Arial"/>
                <w:b/>
                <w:bCs/>
                <w:color w:val="FFFFFF"/>
                <w:sz w:val="20"/>
                <w:szCs w:val="20"/>
              </w:rPr>
              <w:t xml:space="preserve">Cam kết Sau triển khai</w:t>
            </w:r>
          </w:p>
        </w:tc>
        <w:tc>
          <w:tcPr>
            <w:shd w:fill="003366" w:val="clear"/>
          </w:tcPr>
          <w:p>
            <w:pPr>
              <w:jc w:val="center"/>
            </w:pPr>
            <w:r>
              <w:rPr>
                <w:rFonts w:ascii="Arial" w:cs="Arial" w:eastAsia="Arial" w:hAnsi="Arial"/>
                <w:b/>
                <w:bCs/>
                <w:color w:val="FFFFFF"/>
                <w:sz w:val="20"/>
                <w:szCs w:val="20"/>
              </w:rPr>
              <w:t xml:space="preserve">Hiệu quả Mang lại</w:t>
            </w:r>
          </w:p>
        </w:tc>
      </w:tr>
      <w:tr>
        <w:tc>
          <w:tcPr>
            <w:shd w:fill="F4F6F9" w:val="clear"/>
          </w:tcPr>
          <w:p>
            <w:pPr>
              <w:jc w:val="center"/>
            </w:pPr>
            <w:r>
              <w:rPr>
                <w:rFonts w:ascii="Arial" w:cs="Arial" w:eastAsia="Arial" w:hAnsi="Arial"/>
                <w:sz w:val="20"/>
                <w:szCs w:val="20"/>
              </w:rPr>
              <w:t xml:space="preserve">1</w:t>
            </w:r>
          </w:p>
        </w:tc>
        <w:tc>
          <w:tcPr>
            <w:shd w:fill="F4F6F9" w:val="clear"/>
          </w:tcPr>
          <w:p>
            <w:pPr>
              <w:jc w:val="left"/>
            </w:pPr>
            <w:r>
              <w:rPr>
                <w:rFonts w:ascii="Arial" w:cs="Arial" w:eastAsia="Arial" w:hAnsi="Arial"/>
                <w:sz w:val="20"/>
                <w:szCs w:val="20"/>
              </w:rPr>
              <w:t xml:space="preserve">Thời gian hoàn thiện 1 hồ sơ</w:t>
            </w:r>
          </w:p>
        </w:tc>
        <w:tc>
          <w:tcPr>
            <w:shd w:fill="F4F6F9" w:val="clear"/>
          </w:tcPr>
          <w:p>
            <w:pPr>
              <w:jc w:val="center"/>
            </w:pPr>
            <w:r>
              <w:rPr>
                <w:rFonts w:ascii="Arial" w:cs="Arial" w:eastAsia="Arial" w:hAnsi="Arial"/>
                <w:sz w:val="20"/>
                <w:szCs w:val="20"/>
              </w:rPr>
              <w:t xml:space="preserve">15 - 20 phút / hồ sơ</w:t>
            </w:r>
          </w:p>
        </w:tc>
        <w:tc>
          <w:tcPr>
            <w:shd w:fill="F4F6F9" w:val="clear"/>
          </w:tcPr>
          <w:p>
            <w:pPr>
              <w:jc w:val="center"/>
            </w:pPr>
            <w:r>
              <w:rPr>
                <w:rFonts w:ascii="Arial" w:cs="Arial" w:eastAsia="Arial" w:hAnsi="Arial"/>
                <w:sz w:val="20"/>
                <w:szCs w:val="20"/>
              </w:rPr>
              <w:t xml:space="preserve">&lt; 2 - 3 phút / hồ sơ</w:t>
            </w:r>
          </w:p>
        </w:tc>
        <w:tc>
          <w:tcPr>
            <w:shd w:fill="F4F6F9" w:val="clear"/>
          </w:tcPr>
          <w:p>
            <w:pPr>
              <w:jc w:val="left"/>
            </w:pPr>
            <w:r>
              <w:rPr>
                <w:rFonts w:ascii="Arial" w:cs="Arial" w:eastAsia="Arial" w:hAnsi="Arial"/>
                <w:sz w:val="20"/>
                <w:szCs w:val="20"/>
              </w:rPr>
              <w:t xml:space="preserve">Tăng năng suất khám đoàn gấp 5-7 lần</w:t>
            </w:r>
          </w:p>
        </w:tc>
      </w:tr>
      <w:tr>
        <w:tc>
          <w:tcPr>
            <w:shd w:fill="FFFFFF" w:val="clear"/>
          </w:tcPr>
          <w:p>
            <w:pPr>
              <w:jc w:val="center"/>
            </w:pPr>
            <w:r>
              <w:rPr>
                <w:rFonts w:ascii="Arial" w:cs="Arial" w:eastAsia="Arial" w:hAnsi="Arial"/>
                <w:sz w:val="20"/>
                <w:szCs w:val="20"/>
              </w:rPr>
              <w:t xml:space="preserve">2</w:t>
            </w:r>
          </w:p>
        </w:tc>
        <w:tc>
          <w:tcPr>
            <w:shd w:fill="FFFFFF" w:val="clear"/>
          </w:tcPr>
          <w:p>
            <w:pPr>
              <w:jc w:val="left"/>
            </w:pPr>
            <w:r>
              <w:rPr>
                <w:rFonts w:ascii="Arial" w:cs="Arial" w:eastAsia="Arial" w:hAnsi="Arial"/>
                <w:sz w:val="20"/>
                <w:szCs w:val="20"/>
              </w:rPr>
              <w:t xml:space="preserve">Tỷ lệ tự động hóa kết quả CLS</w:t>
            </w:r>
          </w:p>
        </w:tc>
        <w:tc>
          <w:tcPr>
            <w:shd w:fill="FFFFFF" w:val="clear"/>
          </w:tcPr>
          <w:p>
            <w:pPr>
              <w:jc w:val="center"/>
            </w:pPr>
            <w:r>
              <w:rPr>
                <w:rFonts w:ascii="Arial" w:cs="Arial" w:eastAsia="Arial" w:hAnsi="Arial"/>
                <w:sz w:val="20"/>
                <w:szCs w:val="20"/>
              </w:rPr>
              <w:t xml:space="preserve">0% (nhập tay)</w:t>
            </w:r>
          </w:p>
        </w:tc>
        <w:tc>
          <w:tcPr>
            <w:shd w:fill="FFFFFF" w:val="clear"/>
          </w:tcPr>
          <w:p>
            <w:pPr>
              <w:jc w:val="center"/>
            </w:pPr>
            <w:r>
              <w:rPr>
                <w:rFonts w:ascii="Arial" w:cs="Arial" w:eastAsia="Arial" w:hAnsi="Arial"/>
                <w:sz w:val="20"/>
                <w:szCs w:val="20"/>
              </w:rPr>
              <w:t xml:space="preserve">&gt; 98% (đồng bộ HIS)</w:t>
            </w:r>
          </w:p>
        </w:tc>
        <w:tc>
          <w:tcPr>
            <w:shd w:fill="FFFFFF" w:val="clear"/>
          </w:tcPr>
          <w:p>
            <w:pPr>
              <w:jc w:val="left"/>
            </w:pPr>
            <w:r>
              <w:rPr>
                <w:rFonts w:ascii="Arial" w:cs="Arial" w:eastAsia="Arial" w:hAnsi="Arial"/>
                <w:sz w:val="20"/>
                <w:szCs w:val="20"/>
              </w:rPr>
              <w:t xml:space="preserve">Loại bỏ 100% rủi ro nhập sai dữ liệu CLS</w:t>
            </w:r>
          </w:p>
        </w:tc>
      </w:tr>
      <w:tr>
        <w:tc>
          <w:tcPr>
            <w:shd w:fill="F4F6F9" w:val="clear"/>
          </w:tcPr>
          <w:p>
            <w:pPr>
              <w:jc w:val="center"/>
            </w:pPr>
            <w:r>
              <w:rPr>
                <w:rFonts w:ascii="Arial" w:cs="Arial" w:eastAsia="Arial" w:hAnsi="Arial"/>
                <w:sz w:val="20"/>
                <w:szCs w:val="20"/>
              </w:rPr>
              <w:t xml:space="preserve">3</w:t>
            </w:r>
          </w:p>
        </w:tc>
        <w:tc>
          <w:tcPr>
            <w:shd w:fill="F4F6F9" w:val="clear"/>
          </w:tcPr>
          <w:p>
            <w:pPr>
              <w:jc w:val="left"/>
            </w:pPr>
            <w:r>
              <w:rPr>
                <w:rFonts w:ascii="Arial" w:cs="Arial" w:eastAsia="Arial" w:hAnsi="Arial"/>
                <w:sz w:val="20"/>
                <w:szCs w:val="20"/>
              </w:rPr>
              <w:t xml:space="preserve">Tốc độ Ký số hàng loạt</w:t>
            </w:r>
          </w:p>
        </w:tc>
        <w:tc>
          <w:tcPr>
            <w:shd w:fill="F4F6F9" w:val="clear"/>
          </w:tcPr>
          <w:p>
            <w:pPr>
              <w:jc w:val="center"/>
            </w:pPr>
            <w:r>
              <w:rPr>
                <w:rFonts w:ascii="Arial" w:cs="Arial" w:eastAsia="Arial" w:hAnsi="Arial"/>
                <w:sz w:val="20"/>
                <w:szCs w:val="20"/>
              </w:rPr>
              <w:t xml:space="preserve">1 - 2 hồ sơ / phút</w:t>
            </w:r>
          </w:p>
        </w:tc>
        <w:tc>
          <w:tcPr>
            <w:shd w:fill="F4F6F9" w:val="clear"/>
          </w:tcPr>
          <w:p>
            <w:pPr>
              <w:jc w:val="center"/>
            </w:pPr>
            <w:r>
              <w:rPr>
                <w:rFonts w:ascii="Arial" w:cs="Arial" w:eastAsia="Arial" w:hAnsi="Arial"/>
                <w:sz w:val="20"/>
                <w:szCs w:val="20"/>
              </w:rPr>
              <w:t xml:space="preserve">&gt; 100 hồ sơ / phút</w:t>
            </w:r>
          </w:p>
        </w:tc>
        <w:tc>
          <w:tcPr>
            <w:shd w:fill="F4F6F9" w:val="clear"/>
          </w:tcPr>
          <w:p>
            <w:pPr>
              <w:jc w:val="left"/>
            </w:pPr>
            <w:r>
              <w:rPr>
                <w:rFonts w:ascii="Arial" w:cs="Arial" w:eastAsia="Arial" w:hAnsi="Arial"/>
                <w:sz w:val="20"/>
                <w:szCs w:val="20"/>
              </w:rPr>
              <w:t xml:space="preserve">Tiết kiệm 95% thời gian Bác sĩ/Lãnh đạo ký duyệt</w:t>
            </w:r>
          </w:p>
        </w:tc>
      </w:tr>
      <w:tr>
        <w:tc>
          <w:tcPr>
            <w:shd w:fill="FFFFFF" w:val="clear"/>
          </w:tcPr>
          <w:p>
            <w:pPr>
              <w:jc w:val="center"/>
            </w:pPr>
            <w:r>
              <w:rPr>
                <w:rFonts w:ascii="Arial" w:cs="Arial" w:eastAsia="Arial" w:hAnsi="Arial"/>
                <w:sz w:val="20"/>
                <w:szCs w:val="20"/>
              </w:rPr>
              <w:t xml:space="preserve">4</w:t>
            </w:r>
          </w:p>
        </w:tc>
        <w:tc>
          <w:tcPr>
            <w:shd w:fill="FFFFFF" w:val="clear"/>
          </w:tcPr>
          <w:p>
            <w:pPr>
              <w:jc w:val="left"/>
            </w:pPr>
            <w:r>
              <w:rPr>
                <w:rFonts w:ascii="Arial" w:cs="Arial" w:eastAsia="Arial" w:hAnsi="Arial"/>
                <w:sz w:val="20"/>
                <w:szCs w:val="20"/>
              </w:rPr>
              <w:t xml:space="preserve">Tỷ lệ liên thông VNeID thành công</w:t>
            </w:r>
          </w:p>
        </w:tc>
        <w:tc>
          <w:tcPr>
            <w:shd w:fill="FFFFFF" w:val="clear"/>
          </w:tcPr>
          <w:p>
            <w:pPr>
              <w:jc w:val="center"/>
            </w:pPr>
            <w:r>
              <w:rPr>
                <w:rFonts w:ascii="Arial" w:cs="Arial" w:eastAsia="Arial" w:hAnsi="Arial"/>
                <w:sz w:val="20"/>
                <w:szCs w:val="20"/>
              </w:rPr>
              <w:t xml:space="preserve">Thủ công / Lỗi nhiều</w:t>
            </w:r>
          </w:p>
        </w:tc>
        <w:tc>
          <w:tcPr>
            <w:shd w:fill="FFFFFF" w:val="clear"/>
          </w:tcPr>
          <w:p>
            <w:pPr>
              <w:jc w:val="center"/>
            </w:pPr>
            <w:r>
              <w:rPr>
                <w:rFonts w:ascii="Arial" w:cs="Arial" w:eastAsia="Arial" w:hAnsi="Arial"/>
                <w:sz w:val="20"/>
                <w:szCs w:val="20"/>
              </w:rPr>
              <w:t xml:space="preserve">99.9% (chuẩn QĐ 1551)</w:t>
            </w:r>
          </w:p>
        </w:tc>
        <w:tc>
          <w:tcPr>
            <w:shd w:fill="FFFFFF" w:val="clear"/>
          </w:tcPr>
          <w:p>
            <w:pPr>
              <w:jc w:val="left"/>
            </w:pPr>
            <w:r>
              <w:rPr>
                <w:rFonts w:ascii="Arial" w:cs="Arial" w:eastAsia="Arial" w:hAnsi="Arial"/>
                <w:sz w:val="20"/>
                <w:szCs w:val="20"/>
              </w:rPr>
              <w:t xml:space="preserve">Đáp ứng 100% quy định pháp lý của Bộ Y tế</w:t>
            </w:r>
          </w:p>
        </w:tc>
      </w:tr>
      <w:tr>
        <w:tc>
          <w:tcPr>
            <w:shd w:fill="F4F6F9" w:val="clear"/>
          </w:tcPr>
          <w:p>
            <w:pPr>
              <w:jc w:val="center"/>
            </w:pPr>
            <w:r>
              <w:rPr>
                <w:rFonts w:ascii="Arial" w:cs="Arial" w:eastAsia="Arial" w:hAnsi="Arial"/>
                <w:sz w:val="20"/>
                <w:szCs w:val="20"/>
              </w:rPr>
              <w:t xml:space="preserve">5</w:t>
            </w:r>
          </w:p>
        </w:tc>
        <w:tc>
          <w:tcPr>
            <w:shd w:fill="F4F6F9" w:val="clear"/>
          </w:tcPr>
          <w:p>
            <w:pPr>
              <w:jc w:val="left"/>
            </w:pPr>
            <w:r>
              <w:rPr>
                <w:rFonts w:ascii="Arial" w:cs="Arial" w:eastAsia="Arial" w:hAnsi="Arial"/>
                <w:sz w:val="20"/>
                <w:szCs w:val="20"/>
              </w:rPr>
              <w:t xml:space="preserve">Tỷ lệ nhầm lẫn mẫu xét nghiệm</w:t>
            </w:r>
          </w:p>
        </w:tc>
        <w:tc>
          <w:tcPr>
            <w:shd w:fill="F4F6F9" w:val="clear"/>
          </w:tcPr>
          <w:p>
            <w:pPr>
              <w:jc w:val="center"/>
            </w:pPr>
            <w:r>
              <w:rPr>
                <w:rFonts w:ascii="Arial" w:cs="Arial" w:eastAsia="Arial" w:hAnsi="Arial"/>
                <w:sz w:val="20"/>
                <w:szCs w:val="20"/>
              </w:rPr>
              <w:t xml:space="preserve">2 - 5% rủi ro</w:t>
            </w:r>
          </w:p>
        </w:tc>
        <w:tc>
          <w:tcPr>
            <w:shd w:fill="F4F6F9" w:val="clear"/>
          </w:tcPr>
          <w:p>
            <w:pPr>
              <w:jc w:val="center"/>
            </w:pPr>
            <w:r>
              <w:rPr>
                <w:rFonts w:ascii="Arial" w:cs="Arial" w:eastAsia="Arial" w:hAnsi="Arial"/>
                <w:sz w:val="20"/>
                <w:szCs w:val="20"/>
              </w:rPr>
              <w:t xml:space="preserve">0% (mã vạch Barcode)</w:t>
            </w:r>
          </w:p>
        </w:tc>
        <w:tc>
          <w:tcPr>
            <w:shd w:fill="F4F6F9" w:val="clear"/>
          </w:tcPr>
          <w:p>
            <w:pPr>
              <w:jc w:val="left"/>
            </w:pPr>
            <w:r>
              <w:rPr>
                <w:rFonts w:ascii="Arial" w:cs="Arial" w:eastAsia="Arial" w:hAnsi="Arial"/>
                <w:sz w:val="20"/>
                <w:szCs w:val="20"/>
              </w:rPr>
              <w:t xml:space="preserve">Kiểm soát tuyệt đối quy trình bàn giao mẫu Lab</w:t>
            </w:r>
          </w:p>
        </w:tc>
      </w:tr>
    </w:tbl>
    <w:p>
      <w:pPr>
        <w:pStyle w:val="Heading1"/>
      </w:pPr>
      <w:r>
        <w:t xml:space="preserve">IV. CẤU TRÚC BÁO GIÁ THƯƠNG MẠI THAM KHẢO</w:t>
      </w:r>
    </w:p>
    <w:p>
      <w:pPr>
        <w:spacing w:after="150"/>
      </w:pPr>
      <w:r>
        <w:rPr>
          <w:rFonts w:ascii="Arial" w:cs="Arial" w:eastAsia="Arial" w:hAnsi="Arial"/>
          <w:sz w:val="22"/>
          <w:szCs w:val="22"/>
        </w:rPr>
        <w:t xml:space="preserve">Báo giá giải pháp được xây dựng theo mô hình trọn gói (Turnkey Solution) hoặc phân chia theo quy mô đáp ứng nhu cầu thực tế của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055A5" w:val="clear"/>
          </w:tcPr>
          <w:p>
            <w:pPr>
              <w:jc w:val="center"/>
            </w:pPr>
            <w:r>
              <w:rPr>
                <w:rFonts w:ascii="Arial" w:cs="Arial" w:eastAsia="Arial" w:hAnsi="Arial"/>
                <w:b/>
                <w:bCs/>
                <w:color w:val="FFFFFF"/>
                <w:sz w:val="20"/>
                <w:szCs w:val="20"/>
              </w:rPr>
              <w:t xml:space="preserve">Hạng mục Giải pháp</w:t>
            </w:r>
          </w:p>
        </w:tc>
        <w:tc>
          <w:tcPr>
            <w:shd w:fill="0055A5" w:val="clear"/>
          </w:tcPr>
          <w:p>
            <w:pPr>
              <w:jc w:val="center"/>
            </w:pPr>
            <w:r>
              <w:rPr>
                <w:rFonts w:ascii="Arial" w:cs="Arial" w:eastAsia="Arial" w:hAnsi="Arial"/>
                <w:b/>
                <w:bCs/>
                <w:color w:val="FFFFFF"/>
                <w:sz w:val="20"/>
                <w:szCs w:val="20"/>
              </w:rPr>
              <w:t xml:space="preserve">Nội dung Cung cấp</w:t>
            </w:r>
          </w:p>
        </w:tc>
        <w:tc>
          <w:tcPr>
            <w:shd w:fill="0055A5" w:val="clear"/>
          </w:tcPr>
          <w:p>
            <w:pPr>
              <w:jc w:val="center"/>
            </w:pPr>
            <w:r>
              <w:rPr>
                <w:rFonts w:ascii="Arial" w:cs="Arial" w:eastAsia="Arial" w:hAnsi="Arial"/>
                <w:b/>
                <w:bCs/>
                <w:color w:val="FFFFFF"/>
                <w:sz w:val="20"/>
                <w:szCs w:val="20"/>
              </w:rPr>
              <w:t xml:space="preserve">Đơn vị tính</w:t>
            </w:r>
          </w:p>
        </w:tc>
        <w:tc>
          <w:tcPr>
            <w:shd w:fill="0055A5" w:val="clear"/>
          </w:tcPr>
          <w:p>
            <w:pPr>
              <w:jc w:val="center"/>
            </w:pPr>
            <w:r>
              <w:rPr>
                <w:rFonts w:ascii="Arial" w:cs="Arial" w:eastAsia="Arial" w:hAnsi="Arial"/>
                <w:b/>
                <w:bCs/>
                <w:color w:val="FFFFFF"/>
                <w:sz w:val="20"/>
                <w:szCs w:val="20"/>
              </w:rPr>
              <w:t xml:space="preserve">Đơn giá Tham khảo (VNĐ)</w:t>
            </w:r>
          </w:p>
        </w:tc>
      </w:tr>
      <w:tr>
        <w:tc>
          <w:tcPr>
            <w:shd w:fill="F4F6F9" w:val="clear"/>
          </w:tcPr>
          <w:p>
            <w:pPr>
              <w:jc w:val="left"/>
            </w:pPr>
            <w:r>
              <w:rPr>
                <w:rFonts w:ascii="Arial" w:cs="Arial" w:eastAsia="Arial" w:hAnsi="Arial"/>
                <w:b w:val="false"/>
                <w:bCs w:val="false"/>
                <w:color w:val="000000"/>
                <w:sz w:val="20"/>
                <w:szCs w:val="20"/>
              </w:rPr>
              <w:t xml:space="preserve">1. Gói Phần mềm Cơ bản</w:t>
            </w:r>
          </w:p>
        </w:tc>
        <w:tc>
          <w:tcPr>
            <w:shd w:fill="F4F6F9" w:val="clear"/>
          </w:tcPr>
          <w:p>
            <w:pPr>
              <w:jc w:val="left"/>
            </w:pPr>
            <w:r>
              <w:rPr>
                <w:rFonts w:ascii="Arial" w:cs="Arial" w:eastAsia="Arial" w:hAnsi="Arial"/>
                <w:b w:val="false"/>
                <w:bCs w:val="false"/>
                <w:color w:val="000000"/>
                <w:sz w:val="20"/>
                <w:szCs w:val="20"/>
              </w:rPr>
              <w:t xml:space="preserve">Phân hệ Khám sức khỏe (3 Mẫu biểu chuẩn) + Tích hợp đồng bộ HIS + In Barcode LIMS 50x30mm</w:t>
            </w:r>
          </w:p>
        </w:tc>
        <w:tc>
          <w:tcPr>
            <w:shd w:fill="F4F6F9" w:val="clear"/>
          </w:tcPr>
          <w:p>
            <w:pPr>
              <w:jc w:val="center"/>
            </w:pPr>
            <w:r>
              <w:rPr>
                <w:rFonts w:ascii="Arial" w:cs="Arial" w:eastAsia="Arial" w:hAnsi="Arial"/>
                <w:b w:val="false"/>
                <w:bCs w:val="false"/>
                <w:color w:val="000000"/>
                <w:sz w:val="20"/>
                <w:szCs w:val="20"/>
              </w:rPr>
              <w:t xml:space="preserve">Trọn gói / Cơ sở</w:t>
            </w:r>
          </w:p>
        </w:tc>
        <w:tc>
          <w:tcPr>
            <w:shd w:fill="F4F6F9" w:val="clear"/>
          </w:tcPr>
          <w:p>
            <w:pPr>
              <w:jc w:val="center"/>
            </w:pPr>
            <w:r>
              <w:rPr>
                <w:rFonts w:ascii="Arial" w:cs="Arial" w:eastAsia="Arial" w:hAnsi="Arial"/>
                <w:b w:val="false"/>
                <w:bCs w:val="false"/>
                <w:color w:val="000000"/>
                <w:sz w:val="20"/>
                <w:szCs w:val="20"/>
              </w:rPr>
              <w:t xml:space="preserve">35.000.000</w:t>
            </w:r>
          </w:p>
        </w:tc>
      </w:tr>
      <w:tr>
        <w:tc>
          <w:tcPr>
            <w:shd w:fill="FFFFFF" w:val="clear"/>
          </w:tcPr>
          <w:p>
            <w:pPr>
              <w:jc w:val="left"/>
            </w:pPr>
            <w:r>
              <w:rPr>
                <w:rFonts w:ascii="Arial" w:cs="Arial" w:eastAsia="Arial" w:hAnsi="Arial"/>
                <w:b w:val="false"/>
                <w:bCs w:val="false"/>
                <w:color w:val="000000"/>
                <w:sz w:val="20"/>
                <w:szCs w:val="20"/>
              </w:rPr>
              <w:t xml:space="preserve">2. Gói Liên thông VNeID</w:t>
            </w:r>
          </w:p>
        </w:tc>
        <w:tc>
          <w:tcPr>
            <w:shd w:fill="FFFFFF" w:val="clear"/>
          </w:tcPr>
          <w:p>
            <w:pPr>
              <w:jc w:val="left"/>
            </w:pPr>
            <w:r>
              <w:rPr>
                <w:rFonts w:ascii="Arial" w:cs="Arial" w:eastAsia="Arial" w:hAnsi="Arial"/>
                <w:b w:val="false"/>
                <w:bCs w:val="false"/>
                <w:color w:val="000000"/>
                <w:sz w:val="20"/>
                <w:szCs w:val="20"/>
              </w:rPr>
              <w:t xml:space="preserve">Module Ký số hàng loạt (USB/Cloud HSM) + Module Đóng gói XML &amp; Liên thông Cổng VNeID (QĐ 1551/QĐ-BYT)</w:t>
            </w:r>
          </w:p>
        </w:tc>
        <w:tc>
          <w:tcPr>
            <w:shd w:fill="FFFFFF" w:val="clear"/>
          </w:tcPr>
          <w:p>
            <w:pPr>
              <w:jc w:val="center"/>
            </w:pPr>
            <w:r>
              <w:rPr>
                <w:rFonts w:ascii="Arial" w:cs="Arial" w:eastAsia="Arial" w:hAnsi="Arial"/>
                <w:b w:val="false"/>
                <w:bCs w:val="false"/>
                <w:color w:val="000000"/>
                <w:sz w:val="20"/>
                <w:szCs w:val="20"/>
              </w:rPr>
              <w:t xml:space="preserve">Trọn gói / Cơ sở</w:t>
            </w:r>
          </w:p>
        </w:tc>
        <w:tc>
          <w:tcPr>
            <w:shd w:fill="FFFFFF" w:val="clear"/>
          </w:tcPr>
          <w:p>
            <w:pPr>
              <w:jc w:val="center"/>
            </w:pPr>
            <w:r>
              <w:rPr>
                <w:rFonts w:ascii="Arial" w:cs="Arial" w:eastAsia="Arial" w:hAnsi="Arial"/>
                <w:b w:val="false"/>
                <w:bCs w:val="false"/>
                <w:color w:val="000000"/>
                <w:sz w:val="20"/>
                <w:szCs w:val="20"/>
              </w:rPr>
              <w:t xml:space="preserve">25.000.000</w:t>
            </w:r>
          </w:p>
        </w:tc>
      </w:tr>
      <w:tr>
        <w:tc>
          <w:tcPr>
            <w:shd w:fill="F4F6F9" w:val="clear"/>
          </w:tcPr>
          <w:p>
            <w:pPr>
              <w:jc w:val="left"/>
            </w:pPr>
            <w:r>
              <w:rPr>
                <w:rFonts w:ascii="Arial" w:cs="Arial" w:eastAsia="Arial" w:hAnsi="Arial"/>
                <w:b w:val="false"/>
                <w:bCs w:val="false"/>
                <w:color w:val="000000"/>
                <w:sz w:val="20"/>
                <w:szCs w:val="20"/>
              </w:rPr>
              <w:t xml:space="preserve">3. Tích hợp &amp; Triển khai</w:t>
            </w:r>
          </w:p>
        </w:tc>
        <w:tc>
          <w:tcPr>
            <w:shd w:fill="F4F6F9" w:val="clear"/>
          </w:tcPr>
          <w:p>
            <w:pPr>
              <w:jc w:val="left"/>
            </w:pPr>
            <w:r>
              <w:rPr>
                <w:rFonts w:ascii="Arial" w:cs="Arial" w:eastAsia="Arial" w:hAnsi="Arial"/>
                <w:b w:val="false"/>
                <w:bCs w:val="false"/>
                <w:color w:val="000000"/>
                <w:sz w:val="20"/>
                <w:szCs w:val="20"/>
              </w:rPr>
              <w:t xml:space="preserve">Tích hợp HIS/LIMS + Khởi tạo hệ thống + Đào tạo vận hành tận nơi / Online</w:t>
            </w:r>
          </w:p>
        </w:tc>
        <w:tc>
          <w:tcPr>
            <w:shd w:fill="F4F6F9" w:val="clear"/>
          </w:tcPr>
          <w:p>
            <w:pPr>
              <w:jc w:val="center"/>
            </w:pPr>
            <w:r>
              <w:rPr>
                <w:rFonts w:ascii="Arial" w:cs="Arial" w:eastAsia="Arial" w:hAnsi="Arial"/>
                <w:b w:val="false"/>
                <w:bCs w:val="false"/>
                <w:color w:val="000000"/>
                <w:sz w:val="20"/>
                <w:szCs w:val="20"/>
              </w:rPr>
              <w:t xml:space="preserve">Gói triển khai</w:t>
            </w:r>
          </w:p>
        </w:tc>
        <w:tc>
          <w:tcPr>
            <w:shd w:fill="F4F6F9" w:val="clear"/>
          </w:tcPr>
          <w:p>
            <w:pPr>
              <w:jc w:val="center"/>
            </w:pPr>
            <w:r>
              <w:rPr>
                <w:rFonts w:ascii="Arial" w:cs="Arial" w:eastAsia="Arial" w:hAnsi="Arial"/>
                <w:b w:val="false"/>
                <w:bCs w:val="false"/>
                <w:color w:val="000000"/>
                <w:sz w:val="20"/>
                <w:szCs w:val="20"/>
              </w:rPr>
              <w:t xml:space="preserve">10.000.000</w:t>
            </w:r>
          </w:p>
        </w:tc>
      </w:tr>
      <w:tr>
        <w:tc>
          <w:tcPr>
            <w:shd w:fill="FFFFFF" w:val="clear"/>
          </w:tcPr>
          <w:p>
            <w:pPr>
              <w:jc w:val="left"/>
            </w:pPr>
            <w:r>
              <w:rPr>
                <w:rFonts w:ascii="Arial" w:cs="Arial" w:eastAsia="Arial" w:hAnsi="Arial"/>
                <w:b/>
                <w:bCs/>
                <w:color w:val="003366"/>
                <w:sz w:val="20"/>
                <w:szCs w:val="20"/>
              </w:rPr>
              <w:t xml:space="preserve">4. Gói Tổng thể (Combo All-in-one)</w:t>
            </w:r>
          </w:p>
        </w:tc>
        <w:tc>
          <w:tcPr>
            <w:shd w:fill="FFFFFF" w:val="clear"/>
          </w:tcPr>
          <w:p>
            <w:pPr>
              <w:jc w:val="left"/>
            </w:pPr>
            <w:r>
              <w:rPr>
                <w:rFonts w:ascii="Arial" w:cs="Arial" w:eastAsia="Arial" w:hAnsi="Arial"/>
                <w:b/>
                <w:bCs/>
                <w:color w:val="003366"/>
                <w:sz w:val="20"/>
                <w:szCs w:val="20"/>
              </w:rPr>
              <w:t xml:space="preserve">Bao gồm toàn bộ Gói 1 + Gói 2 + Triển khai (Ưu đãi đặc biệt trọn gói)</w:t>
            </w:r>
          </w:p>
        </w:tc>
        <w:tc>
          <w:tcPr>
            <w:shd w:fill="FFFFFF" w:val="clear"/>
          </w:tcPr>
          <w:p>
            <w:pPr>
              <w:jc w:val="center"/>
            </w:pPr>
            <w:r>
              <w:rPr>
                <w:rFonts w:ascii="Arial" w:cs="Arial" w:eastAsia="Arial" w:hAnsi="Arial"/>
                <w:b/>
                <w:bCs/>
                <w:color w:val="003366"/>
                <w:sz w:val="20"/>
                <w:szCs w:val="20"/>
              </w:rPr>
              <w:t xml:space="preserve">Hệ thống trọn gói</w:t>
            </w:r>
          </w:p>
        </w:tc>
        <w:tc>
          <w:tcPr>
            <w:shd w:fill="FFFFFF" w:val="clear"/>
          </w:tcPr>
          <w:p>
            <w:pPr>
              <w:jc w:val="center"/>
            </w:pPr>
            <w:r>
              <w:rPr>
                <w:rFonts w:ascii="Arial" w:cs="Arial" w:eastAsia="Arial" w:hAnsi="Arial"/>
                <w:b/>
                <w:bCs/>
                <w:color w:val="003366"/>
                <w:sz w:val="20"/>
                <w:szCs w:val="20"/>
              </w:rPr>
              <w:t xml:space="preserve">55.000.000 (Tiết kiệm 15tr)</w:t>
            </w:r>
          </w:p>
        </w:tc>
      </w:tr>
      <w:tr>
        <w:tc>
          <w:tcPr>
            <w:shd w:fill="F4F6F9" w:val="clear"/>
          </w:tcPr>
          <w:p>
            <w:pPr>
              <w:jc w:val="left"/>
            </w:pPr>
            <w:r>
              <w:rPr>
                <w:rFonts w:ascii="Arial" w:cs="Arial" w:eastAsia="Arial" w:hAnsi="Arial"/>
                <w:b w:val="false"/>
                <w:bCs w:val="false"/>
                <w:color w:val="000000"/>
                <w:sz w:val="20"/>
                <w:szCs w:val="20"/>
              </w:rPr>
              <w:t xml:space="preserve">5. Dịch vụ Bảo trì hàng năm (SLA)</w:t>
            </w:r>
          </w:p>
        </w:tc>
        <w:tc>
          <w:tcPr>
            <w:shd w:fill="F4F6F9" w:val="clear"/>
          </w:tcPr>
          <w:p>
            <w:pPr>
              <w:jc w:val="left"/>
            </w:pPr>
            <w:r>
              <w:rPr>
                <w:rFonts w:ascii="Arial" w:cs="Arial" w:eastAsia="Arial" w:hAnsi="Arial"/>
                <w:b w:val="false"/>
                <w:bCs w:val="false"/>
                <w:color w:val="000000"/>
                <w:sz w:val="20"/>
                <w:szCs w:val="20"/>
              </w:rPr>
              <w:t xml:space="preserve">Bảo trì hệ thống 24/7, cập nhật miễn phí khi Bộ Y tế thay đổi chuẩn cổng liên thông</w:t>
            </w:r>
          </w:p>
        </w:tc>
        <w:tc>
          <w:tcPr>
            <w:shd w:fill="F4F6F9" w:val="clear"/>
          </w:tcPr>
          <w:p>
            <w:pPr>
              <w:jc w:val="center"/>
            </w:pPr>
            <w:r>
              <w:rPr>
                <w:rFonts w:ascii="Arial" w:cs="Arial" w:eastAsia="Arial" w:hAnsi="Arial"/>
                <w:b w:val="false"/>
                <w:bCs w:val="false"/>
                <w:color w:val="000000"/>
                <w:sz w:val="20"/>
                <w:szCs w:val="20"/>
              </w:rPr>
              <w:t xml:space="preserve">Năm (Miễn phí N1)</w:t>
            </w:r>
          </w:p>
        </w:tc>
        <w:tc>
          <w:tcPr>
            <w:shd w:fill="F4F6F9" w:val="clear"/>
          </w:tcPr>
          <w:p>
            <w:pPr>
              <w:jc w:val="center"/>
            </w:pPr>
            <w:r>
              <w:rPr>
                <w:rFonts w:ascii="Arial" w:cs="Arial" w:eastAsia="Arial" w:hAnsi="Arial"/>
                <w:b w:val="false"/>
                <w:bCs w:val="false"/>
                <w:color w:val="000000"/>
                <w:sz w:val="20"/>
                <w:szCs w:val="20"/>
              </w:rPr>
              <w:t xml:space="preserve">10% - 15% Hợp đồng/năm</w:t>
            </w:r>
          </w:p>
        </w:tc>
      </w:tr>
    </w:tbl>
    <w:p>
      <w:pPr>
        <w:pStyle w:val="Heading1"/>
      </w:pPr>
      <w:r>
        <w:t xml:space="preserve">V. ĐIỀU KHOẢN VẬN HÀNH &amp; BẢO HÀNH</w:t>
      </w:r>
    </w:p>
    <w:p>
      <w:pPr>
        <w:pStyle w:val="ListParagraph"/>
        <w:numPr>
          <w:ilvl w:val="0"/>
          <w:numId w:val="1"/>
        </w:numPr>
        <w:spacing w:after="60" w:before="60"/>
      </w:pPr>
      <w:r>
        <w:rPr>
          <w:rFonts w:ascii="Arial" w:cs="Arial" w:eastAsia="Arial" w:hAnsi="Arial"/>
          <w:b/>
          <w:bCs/>
          <w:color w:val="003366"/>
          <w:sz w:val="22"/>
          <w:szCs w:val="22"/>
        </w:rPr>
        <w:t xml:space="preserve">Thời gian triển khai: </w:t>
      </w:r>
      <w:r>
        <w:rPr>
          <w:rFonts w:ascii="Arial" w:cs="Arial" w:eastAsia="Arial" w:hAnsi="Arial"/>
          <w:sz w:val="22"/>
          <w:szCs w:val="22"/>
        </w:rPr>
        <w:t xml:space="preserve">Từ 05 – 10 ngày làm việc (bao gồm kết nối HIS, cấu hình chữ ký số và đào tạo).</w:t>
      </w:r>
    </w:p>
    <w:p>
      <w:pPr>
        <w:pStyle w:val="ListParagraph"/>
        <w:numPr>
          <w:ilvl w:val="0"/>
          <w:numId w:val="1"/>
        </w:numPr>
        <w:spacing w:after="60" w:before="60"/>
      </w:pPr>
      <w:r>
        <w:rPr>
          <w:rFonts w:ascii="Arial" w:cs="Arial" w:eastAsia="Arial" w:hAnsi="Arial"/>
          <w:b/>
          <w:bCs/>
          <w:color w:val="003366"/>
          <w:sz w:val="22"/>
          <w:szCs w:val="22"/>
        </w:rPr>
        <w:t xml:space="preserve">Bảo hành &amp; Bảo trì: </w:t>
      </w:r>
      <w:r>
        <w:rPr>
          <w:rFonts w:ascii="Arial" w:cs="Arial" w:eastAsia="Arial" w:hAnsi="Arial"/>
          <w:sz w:val="22"/>
          <w:szCs w:val="22"/>
        </w:rPr>
        <w:t xml:space="preserve">Miễn phí bảo hành 12 tháng đầu tiên. Hỗ trợ nâng cấp miễn phí khi Bộ Y tế thay đổi định dạng cổng liên thông.</w:t>
      </w:r>
    </w:p>
    <w:p>
      <w:pPr>
        <w:pStyle w:val="ListParagraph"/>
        <w:numPr>
          <w:ilvl w:val="0"/>
          <w:numId w:val="1"/>
        </w:numPr>
        <w:spacing w:after="60" w:before="60"/>
      </w:pPr>
      <w:r>
        <w:rPr>
          <w:rFonts w:ascii="Arial" w:cs="Arial" w:eastAsia="Arial" w:hAnsi="Arial"/>
          <w:b/>
          <w:bCs/>
          <w:color w:val="003366"/>
          <w:sz w:val="22"/>
          <w:szCs w:val="22"/>
        </w:rPr>
        <w:t xml:space="preserve">Hỗ trợ kỹ thuật (SLA): </w:t>
      </w:r>
      <w:r>
        <w:rPr>
          <w:rFonts w:ascii="Arial" w:cs="Arial" w:eastAsia="Arial" w:hAnsi="Arial"/>
          <w:sz w:val="22"/>
          <w:szCs w:val="22"/>
        </w:rPr>
        <w:t xml:space="preserve">Hỗ trợ trực tuyến 24/7, xử lý sự cố trong vòng 2 giờ làm việc.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Trang 1 / Tài liệu Đề xuất &amp; Báo giá giải pháp phần mềm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VIMES HIS — Giải pháp Quản lý Khám sức khỏe &amp; Liên thông VNeID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Arial" w:cs="Arial" w:eastAsia="Arial" w:hAnsi="Arial"/>
      <w:b/>
      <w:bCs/>
      <w:color w:val="003366"/>
      <w:sz w:val="28"/>
      <w:szCs w:val="28"/>
    </w:rPr>
  </w:style>
  <w:style w:type="paragraph" w:styleId="Heading2">
    <w:name w:val="Heading 2"/>
    <w:basedOn w:val="Normal"/>
    <w:next w:val="Normal"/>
    <w:qFormat/>
    <w:pPr>
      <w:spacing w:after="100" w:before="200"/>
    </w:pPr>
    <w:rPr>
      <w:rFonts w:ascii="Arial" w:cs="Arial" w:eastAsia="Arial" w:hAnsi="Arial"/>
      <w:b/>
      <w:bCs/>
      <w:color w:val="004080"/>
      <w:sz w:val="24"/>
      <w:szCs w:val="24"/>
    </w:rPr>
  </w:style>
  <w:style w:type="paragraph" w:styleId="Heading3">
    <w:name w:val="Heading 3"/>
    <w:basedOn w:val="Normal"/>
    <w:next w:val="Normal"/>
    <w:qFormat/>
    <w:pPr>
      <w:spacing w:after="80" w:before="160"/>
    </w:pPr>
    <w:rPr>
      <w:rFonts w:ascii="Arial" w:cs="Arial" w:eastAsia="Arial" w:hAnsi="Arial"/>
      <w:b/>
      <w:bCs/>
      <w:color w:val="0055A5"/>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2026-07-27T09:51:03.940Z</dcterms:created>
  <dcterms:modified xsi:type="dcterms:W3CDTF">2026-07-27T09:51:03.941Z</dcterms:modified>
</cp:coreProperties>
</file>

<file path=docProps/custom.xml><?xml version="1.0" encoding="utf-8"?>
<Properties xmlns="http://schemas.openxmlformats.org/officeDocument/2006/custom-properties" xmlns:vt="http://schemas.openxmlformats.org/officeDocument/2006/docPropsVTypes"/>
</file>