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but only in the last carriage.  </w:t>
      </w:r>
      <w:r>
        <w:rPr>
          <w:rFonts w:ascii="Calibri" w:hAnsi="Calibri"/>
          <w:i/>
          <w:sz w:val="22"/>
        </w:rPr>
        <w:t>Có chứ, nhưng chỉ ở toa cuối thôi.</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0040-0047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