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5365" w14:textId="6B767393" w:rsidR="00EA1AE3" w:rsidRPr="00EA1AE3" w:rsidRDefault="00EA1AE3" w:rsidP="00DD5CE6">
      <w:pPr>
        <w:jc w:val="both"/>
        <w:rPr>
          <w:rFonts w:asciiTheme="majorBidi" w:hAnsiTheme="majorBidi" w:cstheme="majorBidi"/>
          <w:b/>
          <w:bCs/>
          <w:sz w:val="40"/>
          <w:szCs w:val="40"/>
        </w:rPr>
      </w:pPr>
      <w:r w:rsidRPr="00EA1AE3">
        <w:rPr>
          <w:rFonts w:asciiTheme="majorBidi" w:hAnsiTheme="majorBidi" w:cstheme="majorBidi"/>
          <w:b/>
          <w:bCs/>
          <w:sz w:val="40"/>
          <w:szCs w:val="40"/>
        </w:rPr>
        <w:t>Research Ethics Committee</w:t>
      </w:r>
      <w:r>
        <w:rPr>
          <w:rFonts w:asciiTheme="majorBidi" w:hAnsiTheme="majorBidi" w:cstheme="majorBidi"/>
          <w:b/>
          <w:bCs/>
          <w:sz w:val="40"/>
          <w:szCs w:val="40"/>
        </w:rPr>
        <w:t xml:space="preserve"> </w:t>
      </w:r>
      <w:r w:rsidRPr="00EA1AE3">
        <w:rPr>
          <w:rFonts w:asciiTheme="majorBidi" w:hAnsiTheme="majorBidi" w:cstheme="majorBidi"/>
          <w:b/>
          <w:bCs/>
          <w:sz w:val="40"/>
          <w:szCs w:val="40"/>
        </w:rPr>
        <w:t>-</w:t>
      </w:r>
      <w:r>
        <w:rPr>
          <w:rFonts w:asciiTheme="majorBidi" w:hAnsiTheme="majorBidi" w:cstheme="majorBidi"/>
          <w:b/>
          <w:bCs/>
          <w:sz w:val="40"/>
          <w:szCs w:val="40"/>
        </w:rPr>
        <w:t xml:space="preserve"> </w:t>
      </w:r>
      <w:proofErr w:type="spellStart"/>
      <w:r w:rsidRPr="00EA1AE3">
        <w:rPr>
          <w:rFonts w:asciiTheme="majorBidi" w:hAnsiTheme="majorBidi" w:cstheme="majorBidi"/>
          <w:b/>
          <w:bCs/>
          <w:sz w:val="40"/>
          <w:szCs w:val="40"/>
        </w:rPr>
        <w:t>Vidyashilp</w:t>
      </w:r>
      <w:proofErr w:type="spellEnd"/>
      <w:r w:rsidRPr="00EA1AE3">
        <w:rPr>
          <w:rFonts w:asciiTheme="majorBidi" w:hAnsiTheme="majorBidi" w:cstheme="majorBidi"/>
          <w:b/>
          <w:bCs/>
          <w:sz w:val="40"/>
          <w:szCs w:val="40"/>
        </w:rPr>
        <w:t xml:space="preserve"> University</w:t>
      </w:r>
    </w:p>
    <w:p w14:paraId="070A2B2D" w14:textId="47321389" w:rsidR="00DD5CE6" w:rsidRPr="00DD5CE6" w:rsidRDefault="00DD5CE6" w:rsidP="00DD5CE6">
      <w:pPr>
        <w:jc w:val="both"/>
        <w:rPr>
          <w:rFonts w:asciiTheme="majorBidi" w:hAnsiTheme="majorBidi" w:cstheme="majorBidi"/>
          <w:sz w:val="24"/>
          <w:szCs w:val="24"/>
        </w:rPr>
      </w:pPr>
      <w:r w:rsidRPr="00DD5CE6">
        <w:rPr>
          <w:rFonts w:asciiTheme="majorBidi" w:hAnsiTheme="majorBidi" w:cstheme="majorBidi"/>
          <w:sz w:val="24"/>
          <w:szCs w:val="24"/>
        </w:rPr>
        <w:t xml:space="preserve">The Research Ethics Committee has been constituted by the Vice-Chancellor of </w:t>
      </w:r>
      <w:proofErr w:type="spellStart"/>
      <w:r w:rsidRPr="00DD5CE6">
        <w:rPr>
          <w:rFonts w:asciiTheme="majorBidi" w:hAnsiTheme="majorBidi" w:cstheme="majorBidi"/>
          <w:sz w:val="24"/>
          <w:szCs w:val="24"/>
        </w:rPr>
        <w:t>Vidyashilp</w:t>
      </w:r>
      <w:proofErr w:type="spellEnd"/>
      <w:r w:rsidRPr="00DD5CE6">
        <w:rPr>
          <w:rFonts w:asciiTheme="majorBidi" w:hAnsiTheme="majorBidi" w:cstheme="majorBidi"/>
          <w:sz w:val="24"/>
          <w:szCs w:val="24"/>
        </w:rPr>
        <w:t xml:space="preserve"> University to oversee research involving human beings in accordance with the principles put forth by the ICMR and UGC. This standard operating procedure document will delineate the role, function, and management of the Committee.</w:t>
      </w:r>
    </w:p>
    <w:p w14:paraId="17A49F03" w14:textId="6A217D0C" w:rsidR="004715E6" w:rsidRDefault="004715E6" w:rsidP="004715E6">
      <w:pPr>
        <w:jc w:val="both"/>
        <w:rPr>
          <w:rFonts w:asciiTheme="majorBidi" w:hAnsiTheme="majorBidi" w:cstheme="majorBidi"/>
          <w:sz w:val="24"/>
          <w:szCs w:val="24"/>
        </w:rPr>
      </w:pPr>
      <w:r w:rsidRPr="004715E6">
        <w:rPr>
          <w:rFonts w:asciiTheme="majorBidi" w:hAnsiTheme="majorBidi" w:cstheme="majorBidi"/>
          <w:b/>
          <w:bCs/>
          <w:sz w:val="24"/>
          <w:szCs w:val="24"/>
        </w:rPr>
        <w:t>Our Objective:</w:t>
      </w:r>
    </w:p>
    <w:p w14:paraId="1B53013D" w14:textId="5A93B79A" w:rsidR="00DD5CE6" w:rsidRPr="00DD5CE6" w:rsidRDefault="00DD5CE6" w:rsidP="00DD5CE6">
      <w:pPr>
        <w:jc w:val="both"/>
        <w:rPr>
          <w:rFonts w:asciiTheme="majorBidi" w:hAnsiTheme="majorBidi" w:cstheme="majorBidi"/>
          <w:sz w:val="24"/>
          <w:szCs w:val="24"/>
        </w:rPr>
      </w:pPr>
      <w:r w:rsidRPr="00DD5CE6">
        <w:rPr>
          <w:rFonts w:asciiTheme="majorBidi" w:hAnsiTheme="majorBidi" w:cstheme="majorBidi"/>
          <w:sz w:val="24"/>
          <w:szCs w:val="24"/>
        </w:rPr>
        <w:t xml:space="preserve">The objective is to establish an effective and consistent ethical review mechanism for health, biomedical, and research involving human subjects for all proposals submitted by faculty, research scholars, and students of </w:t>
      </w:r>
      <w:proofErr w:type="spellStart"/>
      <w:r w:rsidRPr="00DD5CE6">
        <w:rPr>
          <w:rFonts w:asciiTheme="majorBidi" w:hAnsiTheme="majorBidi" w:cstheme="majorBidi"/>
          <w:sz w:val="24"/>
          <w:szCs w:val="24"/>
        </w:rPr>
        <w:t>Vidyashilp</w:t>
      </w:r>
      <w:proofErr w:type="spellEnd"/>
      <w:r w:rsidRPr="00DD5CE6">
        <w:rPr>
          <w:rFonts w:asciiTheme="majorBidi" w:hAnsiTheme="majorBidi" w:cstheme="majorBidi"/>
          <w:sz w:val="24"/>
          <w:szCs w:val="24"/>
        </w:rPr>
        <w:t xml:space="preserve"> University, as mandated by the National Ethical Guidelines for Biomedical and Health Research on Human Participants of ICMR</w:t>
      </w:r>
      <w:r>
        <w:rPr>
          <w:rFonts w:asciiTheme="majorBidi" w:hAnsiTheme="majorBidi" w:cstheme="majorBidi"/>
          <w:sz w:val="24"/>
          <w:szCs w:val="24"/>
        </w:rPr>
        <w:t>.</w:t>
      </w:r>
    </w:p>
    <w:p w14:paraId="69F0BF99" w14:textId="13BF5414" w:rsidR="004715E6" w:rsidRDefault="004715E6" w:rsidP="004715E6">
      <w:pPr>
        <w:jc w:val="both"/>
        <w:rPr>
          <w:rFonts w:asciiTheme="majorBidi" w:hAnsiTheme="majorBidi" w:cstheme="majorBidi"/>
          <w:b/>
          <w:bCs/>
          <w:sz w:val="24"/>
          <w:szCs w:val="24"/>
        </w:rPr>
      </w:pPr>
      <w:r w:rsidRPr="004715E6">
        <w:rPr>
          <w:rFonts w:asciiTheme="majorBidi" w:hAnsiTheme="majorBidi" w:cstheme="majorBidi"/>
          <w:b/>
          <w:bCs/>
          <w:sz w:val="24"/>
          <w:szCs w:val="24"/>
        </w:rPr>
        <w:t>Our Duties:</w:t>
      </w:r>
    </w:p>
    <w:p w14:paraId="76963977"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 xml:space="preserve">Evaluate and authorize study proposals involving human subjects to guarantee the protection of their dignity, privacy, rights, safety, and welfare. </w:t>
      </w:r>
    </w:p>
    <w:p w14:paraId="60AE0F4F"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 xml:space="preserve">Place the health and welfare of research participants above the objectives of the study. </w:t>
      </w:r>
    </w:p>
    <w:p w14:paraId="53869621"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 xml:space="preserve">Guarantee the adherence to research ethics standards, such as independence, kindness, fairness, and justice, throughout the planning, execution, and reporting of the proposed research. </w:t>
      </w:r>
    </w:p>
    <w:p w14:paraId="54269CFE"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Assess the informed consent procedure, risk-benefit analysis, allocation of burdens and benefits</w:t>
      </w:r>
      <w:r>
        <w:rPr>
          <w:rFonts w:asciiTheme="majorBidi" w:hAnsiTheme="majorBidi" w:cstheme="majorBidi"/>
          <w:sz w:val="24"/>
          <w:szCs w:val="24"/>
        </w:rPr>
        <w:t>.</w:t>
      </w:r>
    </w:p>
    <w:p w14:paraId="4D758F2C"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 xml:space="preserve">Perform preliminary evaluations and continuous oversight of research initiatives, utilizing meticulously documented protocols such as annual reports, final reports, and site inspections. </w:t>
      </w:r>
    </w:p>
    <w:p w14:paraId="02F14F73" w14:textId="77777777" w:rsid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 xml:space="preserve">Assess adherence to regulatory mandates, norms, and legislation. </w:t>
      </w:r>
    </w:p>
    <w:p w14:paraId="334C542F" w14:textId="2083FF99" w:rsidR="004715E6" w:rsidRPr="004715E6" w:rsidRDefault="004715E6" w:rsidP="004715E6">
      <w:pPr>
        <w:pStyle w:val="ListParagraph"/>
        <w:numPr>
          <w:ilvl w:val="0"/>
          <w:numId w:val="1"/>
        </w:numPr>
        <w:jc w:val="both"/>
        <w:rPr>
          <w:rFonts w:asciiTheme="majorBidi" w:hAnsiTheme="majorBidi" w:cstheme="majorBidi"/>
          <w:sz w:val="24"/>
          <w:szCs w:val="24"/>
        </w:rPr>
      </w:pPr>
      <w:r w:rsidRPr="004715E6">
        <w:rPr>
          <w:rFonts w:asciiTheme="majorBidi" w:hAnsiTheme="majorBidi" w:cstheme="majorBidi"/>
          <w:sz w:val="24"/>
          <w:szCs w:val="24"/>
        </w:rPr>
        <w:t>Evaluate all research initiatives involving human subjects, encompassing human biological materials and data, irrespective of the funding source.</w:t>
      </w:r>
    </w:p>
    <w:p w14:paraId="19BD5209" w14:textId="15EEE827" w:rsidR="00DD5CE6" w:rsidRDefault="00B000F8" w:rsidP="00B000F8">
      <w:pPr>
        <w:jc w:val="both"/>
        <w:rPr>
          <w:rFonts w:asciiTheme="majorBidi" w:hAnsiTheme="majorBidi" w:cstheme="majorBidi"/>
          <w:b/>
          <w:bCs/>
          <w:sz w:val="24"/>
          <w:szCs w:val="24"/>
        </w:rPr>
      </w:pPr>
      <w:r w:rsidRPr="00B000F8">
        <w:rPr>
          <w:rFonts w:asciiTheme="majorBidi" w:hAnsiTheme="majorBidi" w:cstheme="majorBidi"/>
          <w:b/>
          <w:bCs/>
          <w:sz w:val="24"/>
          <w:szCs w:val="24"/>
        </w:rPr>
        <w:t>Members of the Research Ethics Committee</w:t>
      </w:r>
    </w:p>
    <w:tbl>
      <w:tblPr>
        <w:tblW w:w="9980" w:type="dxa"/>
        <w:tblCellMar>
          <w:left w:w="0" w:type="dxa"/>
          <w:right w:w="0" w:type="dxa"/>
        </w:tblCellMar>
        <w:tblLook w:val="04A0" w:firstRow="1" w:lastRow="0" w:firstColumn="1" w:lastColumn="0" w:noHBand="0" w:noVBand="1"/>
      </w:tblPr>
      <w:tblGrid>
        <w:gridCol w:w="1462"/>
        <w:gridCol w:w="8518"/>
      </w:tblGrid>
      <w:tr w:rsidR="00B000F8" w:rsidRPr="00B000F8" w14:paraId="53DFB8B2" w14:textId="77777777" w:rsidTr="00EA1AE3">
        <w:trPr>
          <w:trHeight w:val="14"/>
        </w:trPr>
        <w:tc>
          <w:tcPr>
            <w:tcW w:w="1291" w:type="dxa"/>
            <w:tcBorders>
              <w:top w:val="single" w:sz="24"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05E47513"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b/>
                <w:bCs/>
                <w:sz w:val="24"/>
                <w:szCs w:val="24"/>
              </w:rPr>
              <w:t>Chairperson</w:t>
            </w:r>
          </w:p>
        </w:tc>
        <w:tc>
          <w:tcPr>
            <w:tcW w:w="8689" w:type="dxa"/>
            <w:tcBorders>
              <w:top w:val="single" w:sz="24" w:space="0" w:color="FFFFFF"/>
              <w:left w:val="single" w:sz="8" w:space="0" w:color="FFFFFF"/>
              <w:bottom w:val="single" w:sz="8" w:space="0" w:color="FFFFFF"/>
              <w:right w:val="single" w:sz="8" w:space="0" w:color="FFFFFF"/>
            </w:tcBorders>
            <w:shd w:val="clear" w:color="auto" w:fill="CFD5EA"/>
            <w:tcMar>
              <w:top w:w="84" w:type="dxa"/>
              <w:left w:w="84" w:type="dxa"/>
              <w:bottom w:w="84" w:type="dxa"/>
              <w:right w:w="84" w:type="dxa"/>
            </w:tcMar>
            <w:hideMark/>
          </w:tcPr>
          <w:p w14:paraId="286C0A9C"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 xml:space="preserve">Dr. Shital D. </w:t>
            </w:r>
            <w:proofErr w:type="gramStart"/>
            <w:r w:rsidRPr="00B000F8">
              <w:rPr>
                <w:rFonts w:asciiTheme="majorBidi" w:hAnsiTheme="majorBidi" w:cstheme="majorBidi"/>
                <w:sz w:val="24"/>
                <w:szCs w:val="24"/>
              </w:rPr>
              <w:t>Bhatt ,</w:t>
            </w:r>
            <w:proofErr w:type="gramEnd"/>
            <w:r w:rsidRPr="00B000F8">
              <w:rPr>
                <w:rFonts w:asciiTheme="majorBidi" w:hAnsiTheme="majorBidi" w:cstheme="majorBidi"/>
                <w:sz w:val="24"/>
                <w:szCs w:val="24"/>
              </w:rPr>
              <w:t xml:space="preserve"> Associate Professor, School of Computational &amp; Data Sciences.</w:t>
            </w:r>
          </w:p>
        </w:tc>
      </w:tr>
      <w:tr w:rsidR="00B000F8" w:rsidRPr="00B000F8" w14:paraId="194E213D" w14:textId="77777777" w:rsidTr="00EA1AE3">
        <w:trPr>
          <w:trHeight w:val="15"/>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48BD5D14"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b/>
                <w:bCs/>
                <w:sz w:val="24"/>
                <w:szCs w:val="24"/>
              </w:rPr>
              <w:t>Member Secretary</w:t>
            </w:r>
          </w:p>
        </w:tc>
        <w:tc>
          <w:tcPr>
            <w:tcW w:w="8689" w:type="dxa"/>
            <w:tcBorders>
              <w:top w:val="single" w:sz="8" w:space="0" w:color="FFFFFF"/>
              <w:left w:val="single" w:sz="8" w:space="0" w:color="FFFFFF"/>
              <w:bottom w:val="single" w:sz="8" w:space="0" w:color="FFFFFF"/>
              <w:right w:val="single" w:sz="8" w:space="0" w:color="FFFFFF"/>
            </w:tcBorders>
            <w:shd w:val="clear" w:color="auto" w:fill="E9EBF5"/>
            <w:tcMar>
              <w:top w:w="84" w:type="dxa"/>
              <w:left w:w="84" w:type="dxa"/>
              <w:bottom w:w="84" w:type="dxa"/>
              <w:right w:w="84" w:type="dxa"/>
            </w:tcMar>
            <w:hideMark/>
          </w:tcPr>
          <w:p w14:paraId="23A8AEFF"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Kavya Salim, Assistant Professor, School of Legal Studies &amp; Governance.</w:t>
            </w:r>
          </w:p>
        </w:tc>
      </w:tr>
      <w:tr w:rsidR="00B000F8" w:rsidRPr="00B000F8" w14:paraId="632A3735" w14:textId="77777777" w:rsidTr="00EA1AE3">
        <w:trPr>
          <w:trHeight w:val="13"/>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655DE844"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b/>
                <w:bCs/>
                <w:sz w:val="24"/>
                <w:szCs w:val="24"/>
              </w:rPr>
              <w:t>Members</w:t>
            </w:r>
          </w:p>
        </w:tc>
        <w:tc>
          <w:tcPr>
            <w:tcW w:w="8689" w:type="dxa"/>
            <w:tcBorders>
              <w:top w:val="single" w:sz="8" w:space="0" w:color="FFFFFF"/>
              <w:left w:val="single" w:sz="8" w:space="0" w:color="FFFFFF"/>
              <w:bottom w:val="single" w:sz="8" w:space="0" w:color="FFFFFF"/>
              <w:right w:val="single" w:sz="8" w:space="0" w:color="FFFFFF"/>
            </w:tcBorders>
            <w:shd w:val="clear" w:color="auto" w:fill="CFD5EA"/>
            <w:tcMar>
              <w:top w:w="84" w:type="dxa"/>
              <w:left w:w="84" w:type="dxa"/>
              <w:bottom w:w="84" w:type="dxa"/>
              <w:right w:w="84" w:type="dxa"/>
            </w:tcMar>
            <w:hideMark/>
          </w:tcPr>
          <w:p w14:paraId="5EA46100"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Shakti Chathurvedi, Associate Professor, School of Business Studies.</w:t>
            </w:r>
          </w:p>
        </w:tc>
      </w:tr>
      <w:tr w:rsidR="00B000F8" w:rsidRPr="00B000F8" w14:paraId="1FD3FD66" w14:textId="77777777" w:rsidTr="00EA1AE3">
        <w:trPr>
          <w:trHeight w:val="15"/>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6594CFE8"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E9EBF5"/>
            <w:tcMar>
              <w:top w:w="84" w:type="dxa"/>
              <w:left w:w="84" w:type="dxa"/>
              <w:bottom w:w="84" w:type="dxa"/>
              <w:right w:w="84" w:type="dxa"/>
            </w:tcMar>
            <w:hideMark/>
          </w:tcPr>
          <w:p w14:paraId="18F8E774"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Anupama A V, Assistant Professor, School of Computational &amp; Data Sciences.</w:t>
            </w:r>
          </w:p>
        </w:tc>
      </w:tr>
      <w:tr w:rsidR="00B000F8" w:rsidRPr="00B000F8" w14:paraId="723535F7" w14:textId="77777777" w:rsidTr="00EA1AE3">
        <w:trPr>
          <w:trHeight w:val="15"/>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22ACE4A2"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CFD5EA"/>
            <w:tcMar>
              <w:top w:w="84" w:type="dxa"/>
              <w:left w:w="84" w:type="dxa"/>
              <w:bottom w:w="84" w:type="dxa"/>
              <w:right w:w="84" w:type="dxa"/>
            </w:tcMar>
            <w:hideMark/>
          </w:tcPr>
          <w:p w14:paraId="5DCBE5A1"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 xml:space="preserve">Dr. Setu G. Havanur, Assistant Professor, School of Liberal Arts and Design Studies. </w:t>
            </w:r>
          </w:p>
        </w:tc>
      </w:tr>
      <w:tr w:rsidR="00B000F8" w:rsidRPr="00B000F8" w14:paraId="15A1311D" w14:textId="77777777" w:rsidTr="00EA1AE3">
        <w:trPr>
          <w:trHeight w:val="15"/>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7E6434D2"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E9EBF5"/>
            <w:tcMar>
              <w:top w:w="84" w:type="dxa"/>
              <w:left w:w="84" w:type="dxa"/>
              <w:bottom w:w="84" w:type="dxa"/>
              <w:right w:w="84" w:type="dxa"/>
            </w:tcMar>
            <w:hideMark/>
          </w:tcPr>
          <w:p w14:paraId="654B524D"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 xml:space="preserve"> Dr. Bipin Sony, Assistant Professor, School of Liberal Arts and Design Studies. </w:t>
            </w:r>
          </w:p>
        </w:tc>
      </w:tr>
      <w:tr w:rsidR="00B000F8" w:rsidRPr="00B000F8" w14:paraId="41AB6996" w14:textId="77777777" w:rsidTr="00EA1AE3">
        <w:trPr>
          <w:trHeight w:val="12"/>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63E5D08B"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CFD5EA"/>
            <w:tcMar>
              <w:top w:w="84" w:type="dxa"/>
              <w:left w:w="84" w:type="dxa"/>
              <w:bottom w:w="84" w:type="dxa"/>
              <w:right w:w="84" w:type="dxa"/>
            </w:tcMar>
            <w:hideMark/>
          </w:tcPr>
          <w:p w14:paraId="027E4861"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 xml:space="preserve">Dr. Sohinee Ganguly, Assistant Professor, School of Liberal Arts and Design Studies. </w:t>
            </w:r>
          </w:p>
        </w:tc>
      </w:tr>
      <w:tr w:rsidR="00B000F8" w:rsidRPr="00B000F8" w14:paraId="75DD00A6" w14:textId="77777777" w:rsidTr="00EA1AE3">
        <w:trPr>
          <w:trHeight w:val="13"/>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67FE69BF"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E9EBF5"/>
            <w:tcMar>
              <w:top w:w="84" w:type="dxa"/>
              <w:left w:w="84" w:type="dxa"/>
              <w:bottom w:w="84" w:type="dxa"/>
              <w:right w:w="84" w:type="dxa"/>
            </w:tcMar>
            <w:hideMark/>
          </w:tcPr>
          <w:p w14:paraId="262BB575"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Tania Islam, Assistant Professor, School of Liberal Arts and Design Studies.</w:t>
            </w:r>
          </w:p>
        </w:tc>
      </w:tr>
      <w:tr w:rsidR="00B000F8" w:rsidRPr="00B000F8" w14:paraId="31A17E4F" w14:textId="77777777" w:rsidTr="00EA1AE3">
        <w:trPr>
          <w:trHeight w:val="14"/>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3A6ED485" w14:textId="77777777" w:rsidR="00B000F8" w:rsidRPr="00B000F8" w:rsidRDefault="00B000F8" w:rsidP="00B000F8">
            <w:pPr>
              <w:jc w:val="both"/>
              <w:rPr>
                <w:rFonts w:asciiTheme="majorBidi" w:hAnsiTheme="majorBidi" w:cstheme="majorBidi"/>
                <w:sz w:val="24"/>
                <w:szCs w:val="24"/>
              </w:rPr>
            </w:pPr>
          </w:p>
        </w:tc>
        <w:tc>
          <w:tcPr>
            <w:tcW w:w="8689" w:type="dxa"/>
            <w:tcBorders>
              <w:top w:val="single" w:sz="8" w:space="0" w:color="FFFFFF"/>
              <w:left w:val="single" w:sz="8" w:space="0" w:color="FFFFFF"/>
              <w:bottom w:val="single" w:sz="8" w:space="0" w:color="FFFFFF"/>
              <w:right w:val="single" w:sz="8" w:space="0" w:color="FFFFFF"/>
            </w:tcBorders>
            <w:shd w:val="clear" w:color="auto" w:fill="CFD5EA"/>
            <w:tcMar>
              <w:top w:w="84" w:type="dxa"/>
              <w:left w:w="84" w:type="dxa"/>
              <w:bottom w:w="84" w:type="dxa"/>
              <w:right w:w="84" w:type="dxa"/>
            </w:tcMar>
            <w:hideMark/>
          </w:tcPr>
          <w:p w14:paraId="48DBC1AA"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Vikas Prabhu, Assistant Professor, School of Business Studies.</w:t>
            </w:r>
          </w:p>
        </w:tc>
      </w:tr>
      <w:tr w:rsidR="00B000F8" w:rsidRPr="00B000F8" w14:paraId="43F44BB2" w14:textId="77777777" w:rsidTr="00EA1AE3">
        <w:trPr>
          <w:trHeight w:val="21"/>
        </w:trPr>
        <w:tc>
          <w:tcPr>
            <w:tcW w:w="1291" w:type="dxa"/>
            <w:tcBorders>
              <w:top w:val="single" w:sz="8" w:space="0" w:color="FFFFFF"/>
              <w:left w:val="single" w:sz="8" w:space="0" w:color="FFFFFF"/>
              <w:bottom w:val="single" w:sz="8" w:space="0" w:color="FFFFFF"/>
              <w:right w:val="single" w:sz="8" w:space="0" w:color="FFFFFF"/>
            </w:tcBorders>
            <w:shd w:val="clear" w:color="auto" w:fill="4472C4"/>
            <w:tcMar>
              <w:top w:w="84" w:type="dxa"/>
              <w:left w:w="84" w:type="dxa"/>
              <w:bottom w:w="84" w:type="dxa"/>
              <w:right w:w="84" w:type="dxa"/>
            </w:tcMar>
            <w:hideMark/>
          </w:tcPr>
          <w:p w14:paraId="1B777797"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b/>
                <w:bCs/>
                <w:sz w:val="24"/>
                <w:szCs w:val="24"/>
              </w:rPr>
              <w:t> </w:t>
            </w:r>
          </w:p>
        </w:tc>
        <w:tc>
          <w:tcPr>
            <w:tcW w:w="8689" w:type="dxa"/>
            <w:tcBorders>
              <w:top w:val="single" w:sz="8" w:space="0" w:color="FFFFFF"/>
              <w:left w:val="single" w:sz="8" w:space="0" w:color="FFFFFF"/>
              <w:bottom w:val="single" w:sz="8" w:space="0" w:color="FFFFFF"/>
              <w:right w:val="single" w:sz="8" w:space="0" w:color="FFFFFF"/>
            </w:tcBorders>
            <w:shd w:val="clear" w:color="auto" w:fill="E9EBF5"/>
            <w:tcMar>
              <w:top w:w="84" w:type="dxa"/>
              <w:left w:w="84" w:type="dxa"/>
              <w:bottom w:w="84" w:type="dxa"/>
              <w:right w:w="84" w:type="dxa"/>
            </w:tcMar>
            <w:hideMark/>
          </w:tcPr>
          <w:p w14:paraId="51339BFE" w14:textId="77777777" w:rsidR="00B000F8" w:rsidRPr="00B000F8" w:rsidRDefault="00B000F8" w:rsidP="00B000F8">
            <w:pPr>
              <w:jc w:val="both"/>
              <w:rPr>
                <w:rFonts w:asciiTheme="majorBidi" w:hAnsiTheme="majorBidi" w:cstheme="majorBidi"/>
                <w:sz w:val="24"/>
                <w:szCs w:val="24"/>
              </w:rPr>
            </w:pPr>
            <w:r w:rsidRPr="00B000F8">
              <w:rPr>
                <w:rFonts w:asciiTheme="majorBidi" w:hAnsiTheme="majorBidi" w:cstheme="majorBidi"/>
                <w:sz w:val="24"/>
                <w:szCs w:val="24"/>
              </w:rPr>
              <w:t>Dr. Devanand T, Assistant Professor, School of Computational &amp; Data Sciences.</w:t>
            </w:r>
          </w:p>
        </w:tc>
      </w:tr>
    </w:tbl>
    <w:p w14:paraId="7A57B2EA" w14:textId="77777777" w:rsidR="00B000F8" w:rsidRDefault="00B000F8" w:rsidP="00B000F8">
      <w:pPr>
        <w:jc w:val="both"/>
        <w:rPr>
          <w:rFonts w:asciiTheme="majorBidi" w:hAnsiTheme="majorBidi" w:cstheme="majorBidi"/>
          <w:sz w:val="24"/>
          <w:szCs w:val="24"/>
        </w:rPr>
      </w:pPr>
    </w:p>
    <w:p w14:paraId="2860955C" w14:textId="2A3F3138" w:rsidR="00EA1AE3" w:rsidRPr="00EA1AE3" w:rsidRDefault="00EA1AE3" w:rsidP="00EA1AE3">
      <w:pPr>
        <w:jc w:val="both"/>
        <w:rPr>
          <w:rFonts w:asciiTheme="majorBidi" w:hAnsiTheme="majorBidi" w:cstheme="majorBidi"/>
          <w:sz w:val="24"/>
          <w:szCs w:val="24"/>
        </w:rPr>
      </w:pPr>
      <w:r w:rsidRPr="00EA1AE3">
        <w:rPr>
          <w:rFonts w:asciiTheme="majorBidi" w:hAnsiTheme="majorBidi" w:cstheme="majorBidi"/>
          <w:b/>
          <w:bCs/>
          <w:sz w:val="24"/>
          <w:szCs w:val="24"/>
        </w:rPr>
        <w:t>Understand Ethical Guidelines:</w:t>
      </w:r>
      <w:r w:rsidR="00A10948">
        <w:rPr>
          <w:rFonts w:asciiTheme="majorBidi" w:hAnsiTheme="majorBidi" w:cstheme="majorBidi"/>
          <w:b/>
          <w:bCs/>
          <w:sz w:val="24"/>
          <w:szCs w:val="24"/>
        </w:rPr>
        <w:t xml:space="preserve"> PDF</w:t>
      </w:r>
    </w:p>
    <w:tbl>
      <w:tblPr>
        <w:tblW w:w="9330" w:type="dxa"/>
        <w:tblCellMar>
          <w:top w:w="300" w:type="dxa"/>
          <w:left w:w="300" w:type="dxa"/>
          <w:bottom w:w="300" w:type="dxa"/>
          <w:right w:w="300" w:type="dxa"/>
        </w:tblCellMar>
        <w:tblLook w:val="04A0" w:firstRow="1" w:lastRow="0" w:firstColumn="1" w:lastColumn="0" w:noHBand="0" w:noVBand="1"/>
      </w:tblPr>
      <w:tblGrid>
        <w:gridCol w:w="957"/>
        <w:gridCol w:w="8373"/>
      </w:tblGrid>
      <w:tr w:rsidR="00EA1AE3" w:rsidRPr="00EA1AE3" w14:paraId="250D33CA" w14:textId="77777777" w:rsidTr="004B2BE7">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1C4EB9C6" w14:textId="77777777" w:rsidR="00EA1AE3" w:rsidRPr="00EA1AE3" w:rsidRDefault="00EA1AE3" w:rsidP="00EA1AE3">
            <w:pPr>
              <w:jc w:val="both"/>
              <w:rPr>
                <w:rFonts w:asciiTheme="majorBidi" w:hAnsiTheme="majorBidi" w:cstheme="majorBidi"/>
                <w:b/>
                <w:bCs/>
                <w:sz w:val="24"/>
                <w:szCs w:val="24"/>
              </w:rPr>
            </w:pPr>
            <w:r w:rsidRPr="00EA1AE3">
              <w:rPr>
                <w:rFonts w:asciiTheme="majorBidi" w:hAnsiTheme="majorBidi" w:cstheme="majorBidi"/>
                <w:b/>
                <w:bCs/>
                <w:sz w:val="24"/>
                <w:szCs w:val="24"/>
              </w:rPr>
              <w:t>Sr. No.</w:t>
            </w:r>
          </w:p>
        </w:tc>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1339A21F" w14:textId="77777777" w:rsidR="00EA1AE3" w:rsidRPr="00EA1AE3" w:rsidRDefault="00EA1AE3" w:rsidP="00EA1AE3">
            <w:pPr>
              <w:jc w:val="both"/>
              <w:rPr>
                <w:rFonts w:asciiTheme="majorBidi" w:hAnsiTheme="majorBidi" w:cstheme="majorBidi"/>
                <w:b/>
                <w:bCs/>
                <w:sz w:val="24"/>
                <w:szCs w:val="24"/>
              </w:rPr>
            </w:pPr>
            <w:r w:rsidRPr="00EA1AE3">
              <w:rPr>
                <w:rFonts w:asciiTheme="majorBidi" w:hAnsiTheme="majorBidi" w:cstheme="majorBidi"/>
                <w:b/>
                <w:bCs/>
                <w:sz w:val="24"/>
                <w:szCs w:val="24"/>
              </w:rPr>
              <w:t>Forms &amp; Guidelines</w:t>
            </w:r>
          </w:p>
        </w:tc>
      </w:tr>
      <w:tr w:rsidR="00EA1AE3" w:rsidRPr="00EA1AE3" w14:paraId="3B064422" w14:textId="77777777" w:rsidTr="004B2BE7">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06888C86" w14:textId="77777777" w:rsidR="00EA1AE3" w:rsidRPr="003A6C4B" w:rsidRDefault="00EA1AE3" w:rsidP="00EA1AE3">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1</w:t>
            </w:r>
          </w:p>
        </w:tc>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3F83B6BD" w14:textId="7F54D1A9" w:rsidR="00EA1AE3" w:rsidRPr="003A6C4B" w:rsidRDefault="00EA1AE3" w:rsidP="00EA1AE3">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National Ethical Guidelines for Biomedical and Health Research Involving Human subjects </w:t>
            </w:r>
          </w:p>
        </w:tc>
      </w:tr>
      <w:tr w:rsidR="00EA1AE3" w:rsidRPr="00EA1AE3" w14:paraId="36AA0EDE" w14:textId="77777777" w:rsidTr="004B2BE7">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7A708D29" w14:textId="77777777" w:rsidR="00EA1AE3" w:rsidRPr="003A6C4B" w:rsidRDefault="00EA1AE3" w:rsidP="00EA1AE3">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2</w:t>
            </w:r>
          </w:p>
        </w:tc>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4AE462AB" w14:textId="09F461B3" w:rsidR="00EA1AE3" w:rsidRPr="003A6C4B" w:rsidRDefault="00EA1AE3" w:rsidP="00EA1AE3">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National Guidelines for Biomedical research involving children </w:t>
            </w:r>
          </w:p>
        </w:tc>
      </w:tr>
      <w:tr w:rsidR="004B2BE7" w:rsidRPr="00EA1AE3" w14:paraId="6294819D" w14:textId="77777777" w:rsidTr="004B2BE7">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35091ED6" w14:textId="77777777" w:rsidR="004B2BE7" w:rsidRPr="003A6C4B" w:rsidRDefault="004B2BE7" w:rsidP="004B2BE7">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3</w:t>
            </w:r>
          </w:p>
        </w:tc>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tcPr>
          <w:p w14:paraId="39F0B675" w14:textId="08201AA6" w:rsidR="004B2BE7" w:rsidRPr="003A6C4B" w:rsidRDefault="004B2BE7" w:rsidP="004B2BE7">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ICMR Policy on Research integrity and publications </w:t>
            </w:r>
          </w:p>
        </w:tc>
      </w:tr>
      <w:tr w:rsidR="004B2BE7" w:rsidRPr="00EA1AE3" w14:paraId="67F1D0EA" w14:textId="77777777" w:rsidTr="004B2BE7">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hideMark/>
          </w:tcPr>
          <w:p w14:paraId="763D5F70" w14:textId="77777777" w:rsidR="004B2BE7" w:rsidRPr="003A6C4B" w:rsidRDefault="004B2BE7" w:rsidP="004B2BE7">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4</w:t>
            </w:r>
          </w:p>
        </w:tc>
        <w:tc>
          <w:tcPr>
            <w:tcW w:w="0" w:type="auto"/>
            <w:tcBorders>
              <w:top w:val="single" w:sz="12" w:space="0" w:color="DDDDDD"/>
              <w:left w:val="single" w:sz="12" w:space="0" w:color="DDDDDD"/>
              <w:bottom w:val="single" w:sz="12" w:space="0" w:color="DDDDDD"/>
              <w:right w:val="single" w:sz="12" w:space="0" w:color="DDDDDD"/>
            </w:tcBorders>
            <w:tcMar>
              <w:top w:w="150" w:type="dxa"/>
              <w:left w:w="150" w:type="dxa"/>
              <w:bottom w:w="150" w:type="dxa"/>
              <w:right w:w="150" w:type="dxa"/>
            </w:tcMar>
            <w:vAlign w:val="center"/>
          </w:tcPr>
          <w:p w14:paraId="2B83521C" w14:textId="52AAF49F" w:rsidR="004B2BE7" w:rsidRPr="003A6C4B" w:rsidRDefault="004B2BE7" w:rsidP="004B2BE7">
            <w:pPr>
              <w:jc w:val="both"/>
              <w:rPr>
                <w:rFonts w:asciiTheme="majorBidi" w:hAnsiTheme="majorBidi" w:cstheme="majorBidi"/>
                <w:sz w:val="24"/>
                <w:szCs w:val="24"/>
                <w:highlight w:val="yellow"/>
              </w:rPr>
            </w:pPr>
            <w:r w:rsidRPr="003A6C4B">
              <w:rPr>
                <w:rFonts w:asciiTheme="majorBidi" w:hAnsiTheme="majorBidi" w:cstheme="majorBidi"/>
                <w:sz w:val="24"/>
                <w:szCs w:val="24"/>
                <w:highlight w:val="yellow"/>
              </w:rPr>
              <w:t>UGC- Consortium for Academic Research and Ethics</w:t>
            </w:r>
          </w:p>
        </w:tc>
      </w:tr>
    </w:tbl>
    <w:p w14:paraId="48FC0BB9" w14:textId="77777777" w:rsidR="000111D2" w:rsidRPr="00DD5CE6" w:rsidRDefault="000111D2" w:rsidP="00A10948">
      <w:pPr>
        <w:jc w:val="both"/>
        <w:rPr>
          <w:rFonts w:asciiTheme="majorBidi" w:hAnsiTheme="majorBidi" w:cstheme="majorBidi"/>
          <w:sz w:val="24"/>
          <w:szCs w:val="24"/>
        </w:rPr>
      </w:pPr>
    </w:p>
    <w:sectPr w:rsidR="000111D2" w:rsidRPr="00DD5C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54F7E"/>
    <w:multiLevelType w:val="hybridMultilevel"/>
    <w:tmpl w:val="B70CF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838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E6"/>
    <w:rsid w:val="000111D2"/>
    <w:rsid w:val="002B15B5"/>
    <w:rsid w:val="003A6C4B"/>
    <w:rsid w:val="004715E6"/>
    <w:rsid w:val="004B2BE7"/>
    <w:rsid w:val="0057286C"/>
    <w:rsid w:val="005824F6"/>
    <w:rsid w:val="007B0973"/>
    <w:rsid w:val="00882063"/>
    <w:rsid w:val="00A10948"/>
    <w:rsid w:val="00B000F8"/>
    <w:rsid w:val="00DD5CE6"/>
    <w:rsid w:val="00E24135"/>
    <w:rsid w:val="00EA1AE3"/>
    <w:rsid w:val="00F251F9"/>
    <w:rsid w:val="00F4729F"/>
    <w:rsid w:val="00FC4D0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F634"/>
  <w15:chartTrackingRefBased/>
  <w15:docId w15:val="{B95400A5-FCA7-4604-9FD8-0CA59718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E6"/>
    <w:rPr>
      <w:rFonts w:eastAsiaTheme="majorEastAsia" w:cstheme="majorBidi"/>
      <w:color w:val="272727" w:themeColor="text1" w:themeTint="D8"/>
    </w:rPr>
  </w:style>
  <w:style w:type="paragraph" w:styleId="Title">
    <w:name w:val="Title"/>
    <w:basedOn w:val="Normal"/>
    <w:next w:val="Normal"/>
    <w:link w:val="TitleChar"/>
    <w:uiPriority w:val="10"/>
    <w:qFormat/>
    <w:rsid w:val="00DD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E6"/>
    <w:pPr>
      <w:spacing w:before="160"/>
      <w:jc w:val="center"/>
    </w:pPr>
    <w:rPr>
      <w:i/>
      <w:iCs/>
      <w:color w:val="404040" w:themeColor="text1" w:themeTint="BF"/>
    </w:rPr>
  </w:style>
  <w:style w:type="character" w:customStyle="1" w:styleId="QuoteChar">
    <w:name w:val="Quote Char"/>
    <w:basedOn w:val="DefaultParagraphFont"/>
    <w:link w:val="Quote"/>
    <w:uiPriority w:val="29"/>
    <w:rsid w:val="00DD5CE6"/>
    <w:rPr>
      <w:i/>
      <w:iCs/>
      <w:color w:val="404040" w:themeColor="text1" w:themeTint="BF"/>
    </w:rPr>
  </w:style>
  <w:style w:type="paragraph" w:styleId="ListParagraph">
    <w:name w:val="List Paragraph"/>
    <w:basedOn w:val="Normal"/>
    <w:uiPriority w:val="34"/>
    <w:qFormat/>
    <w:rsid w:val="00DD5CE6"/>
    <w:pPr>
      <w:ind w:left="720"/>
      <w:contextualSpacing/>
    </w:pPr>
  </w:style>
  <w:style w:type="character" w:styleId="IntenseEmphasis">
    <w:name w:val="Intense Emphasis"/>
    <w:basedOn w:val="DefaultParagraphFont"/>
    <w:uiPriority w:val="21"/>
    <w:qFormat/>
    <w:rsid w:val="00DD5CE6"/>
    <w:rPr>
      <w:i/>
      <w:iCs/>
      <w:color w:val="2F5496" w:themeColor="accent1" w:themeShade="BF"/>
    </w:rPr>
  </w:style>
  <w:style w:type="paragraph" w:styleId="IntenseQuote">
    <w:name w:val="Intense Quote"/>
    <w:basedOn w:val="Normal"/>
    <w:next w:val="Normal"/>
    <w:link w:val="IntenseQuoteChar"/>
    <w:uiPriority w:val="30"/>
    <w:qFormat/>
    <w:rsid w:val="00DD5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E6"/>
    <w:rPr>
      <w:i/>
      <w:iCs/>
      <w:color w:val="2F5496" w:themeColor="accent1" w:themeShade="BF"/>
    </w:rPr>
  </w:style>
  <w:style w:type="character" w:styleId="IntenseReference">
    <w:name w:val="Intense Reference"/>
    <w:basedOn w:val="DefaultParagraphFont"/>
    <w:uiPriority w:val="32"/>
    <w:qFormat/>
    <w:rsid w:val="00DD5C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4924">
      <w:bodyDiv w:val="1"/>
      <w:marLeft w:val="0"/>
      <w:marRight w:val="0"/>
      <w:marTop w:val="0"/>
      <w:marBottom w:val="0"/>
      <w:divBdr>
        <w:top w:val="none" w:sz="0" w:space="0" w:color="auto"/>
        <w:left w:val="none" w:sz="0" w:space="0" w:color="auto"/>
        <w:bottom w:val="none" w:sz="0" w:space="0" w:color="auto"/>
        <w:right w:val="none" w:sz="0" w:space="0" w:color="auto"/>
      </w:divBdr>
    </w:div>
    <w:div w:id="285738385">
      <w:bodyDiv w:val="1"/>
      <w:marLeft w:val="0"/>
      <w:marRight w:val="0"/>
      <w:marTop w:val="0"/>
      <w:marBottom w:val="0"/>
      <w:divBdr>
        <w:top w:val="none" w:sz="0" w:space="0" w:color="auto"/>
        <w:left w:val="none" w:sz="0" w:space="0" w:color="auto"/>
        <w:bottom w:val="none" w:sz="0" w:space="0" w:color="auto"/>
        <w:right w:val="none" w:sz="0" w:space="0" w:color="auto"/>
      </w:divBdr>
    </w:div>
    <w:div w:id="565335934">
      <w:bodyDiv w:val="1"/>
      <w:marLeft w:val="0"/>
      <w:marRight w:val="0"/>
      <w:marTop w:val="0"/>
      <w:marBottom w:val="0"/>
      <w:divBdr>
        <w:top w:val="none" w:sz="0" w:space="0" w:color="auto"/>
        <w:left w:val="none" w:sz="0" w:space="0" w:color="auto"/>
        <w:bottom w:val="none" w:sz="0" w:space="0" w:color="auto"/>
        <w:right w:val="none" w:sz="0" w:space="0" w:color="auto"/>
      </w:divBdr>
    </w:div>
    <w:div w:id="599490049">
      <w:bodyDiv w:val="1"/>
      <w:marLeft w:val="0"/>
      <w:marRight w:val="0"/>
      <w:marTop w:val="0"/>
      <w:marBottom w:val="0"/>
      <w:divBdr>
        <w:top w:val="none" w:sz="0" w:space="0" w:color="auto"/>
        <w:left w:val="none" w:sz="0" w:space="0" w:color="auto"/>
        <w:bottom w:val="none" w:sz="0" w:space="0" w:color="auto"/>
        <w:right w:val="none" w:sz="0" w:space="0" w:color="auto"/>
      </w:divBdr>
    </w:div>
    <w:div w:id="678629246">
      <w:bodyDiv w:val="1"/>
      <w:marLeft w:val="0"/>
      <w:marRight w:val="0"/>
      <w:marTop w:val="0"/>
      <w:marBottom w:val="0"/>
      <w:divBdr>
        <w:top w:val="none" w:sz="0" w:space="0" w:color="auto"/>
        <w:left w:val="none" w:sz="0" w:space="0" w:color="auto"/>
        <w:bottom w:val="none" w:sz="0" w:space="0" w:color="auto"/>
        <w:right w:val="none" w:sz="0" w:space="0" w:color="auto"/>
      </w:divBdr>
    </w:div>
    <w:div w:id="852769277">
      <w:bodyDiv w:val="1"/>
      <w:marLeft w:val="0"/>
      <w:marRight w:val="0"/>
      <w:marTop w:val="0"/>
      <w:marBottom w:val="0"/>
      <w:divBdr>
        <w:top w:val="none" w:sz="0" w:space="0" w:color="auto"/>
        <w:left w:val="none" w:sz="0" w:space="0" w:color="auto"/>
        <w:bottom w:val="none" w:sz="0" w:space="0" w:color="auto"/>
        <w:right w:val="none" w:sz="0" w:space="0" w:color="auto"/>
      </w:divBdr>
    </w:div>
    <w:div w:id="900746265">
      <w:bodyDiv w:val="1"/>
      <w:marLeft w:val="0"/>
      <w:marRight w:val="0"/>
      <w:marTop w:val="0"/>
      <w:marBottom w:val="0"/>
      <w:divBdr>
        <w:top w:val="none" w:sz="0" w:space="0" w:color="auto"/>
        <w:left w:val="none" w:sz="0" w:space="0" w:color="auto"/>
        <w:bottom w:val="none" w:sz="0" w:space="0" w:color="auto"/>
        <w:right w:val="none" w:sz="0" w:space="0" w:color="auto"/>
      </w:divBdr>
    </w:div>
    <w:div w:id="1039665796">
      <w:bodyDiv w:val="1"/>
      <w:marLeft w:val="0"/>
      <w:marRight w:val="0"/>
      <w:marTop w:val="0"/>
      <w:marBottom w:val="0"/>
      <w:divBdr>
        <w:top w:val="none" w:sz="0" w:space="0" w:color="auto"/>
        <w:left w:val="none" w:sz="0" w:space="0" w:color="auto"/>
        <w:bottom w:val="none" w:sz="0" w:space="0" w:color="auto"/>
        <w:right w:val="none" w:sz="0" w:space="0" w:color="auto"/>
      </w:divBdr>
    </w:div>
    <w:div w:id="1114205201">
      <w:bodyDiv w:val="1"/>
      <w:marLeft w:val="0"/>
      <w:marRight w:val="0"/>
      <w:marTop w:val="0"/>
      <w:marBottom w:val="0"/>
      <w:divBdr>
        <w:top w:val="none" w:sz="0" w:space="0" w:color="auto"/>
        <w:left w:val="none" w:sz="0" w:space="0" w:color="auto"/>
        <w:bottom w:val="none" w:sz="0" w:space="0" w:color="auto"/>
        <w:right w:val="none" w:sz="0" w:space="0" w:color="auto"/>
      </w:divBdr>
    </w:div>
    <w:div w:id="1622106933">
      <w:bodyDiv w:val="1"/>
      <w:marLeft w:val="0"/>
      <w:marRight w:val="0"/>
      <w:marTop w:val="0"/>
      <w:marBottom w:val="0"/>
      <w:divBdr>
        <w:top w:val="none" w:sz="0" w:space="0" w:color="auto"/>
        <w:left w:val="none" w:sz="0" w:space="0" w:color="auto"/>
        <w:bottom w:val="none" w:sz="0" w:space="0" w:color="auto"/>
        <w:right w:val="none" w:sz="0" w:space="0" w:color="auto"/>
      </w:divBdr>
    </w:div>
    <w:div w:id="1628924044">
      <w:bodyDiv w:val="1"/>
      <w:marLeft w:val="0"/>
      <w:marRight w:val="0"/>
      <w:marTop w:val="0"/>
      <w:marBottom w:val="0"/>
      <w:divBdr>
        <w:top w:val="none" w:sz="0" w:space="0" w:color="auto"/>
        <w:left w:val="none" w:sz="0" w:space="0" w:color="auto"/>
        <w:bottom w:val="none" w:sz="0" w:space="0" w:color="auto"/>
        <w:right w:val="none" w:sz="0" w:space="0" w:color="auto"/>
      </w:divBdr>
    </w:div>
    <w:div w:id="1744061163">
      <w:bodyDiv w:val="1"/>
      <w:marLeft w:val="0"/>
      <w:marRight w:val="0"/>
      <w:marTop w:val="0"/>
      <w:marBottom w:val="0"/>
      <w:divBdr>
        <w:top w:val="none" w:sz="0" w:space="0" w:color="auto"/>
        <w:left w:val="none" w:sz="0" w:space="0" w:color="auto"/>
        <w:bottom w:val="none" w:sz="0" w:space="0" w:color="auto"/>
        <w:right w:val="none" w:sz="0" w:space="0" w:color="auto"/>
      </w:divBdr>
    </w:div>
    <w:div w:id="1808738071">
      <w:bodyDiv w:val="1"/>
      <w:marLeft w:val="0"/>
      <w:marRight w:val="0"/>
      <w:marTop w:val="0"/>
      <w:marBottom w:val="0"/>
      <w:divBdr>
        <w:top w:val="none" w:sz="0" w:space="0" w:color="auto"/>
        <w:left w:val="none" w:sz="0" w:space="0" w:color="auto"/>
        <w:bottom w:val="none" w:sz="0" w:space="0" w:color="auto"/>
        <w:right w:val="none" w:sz="0" w:space="0" w:color="auto"/>
      </w:divBdr>
    </w:div>
    <w:div w:id="1809082093">
      <w:bodyDiv w:val="1"/>
      <w:marLeft w:val="0"/>
      <w:marRight w:val="0"/>
      <w:marTop w:val="0"/>
      <w:marBottom w:val="0"/>
      <w:divBdr>
        <w:top w:val="none" w:sz="0" w:space="0" w:color="auto"/>
        <w:left w:val="none" w:sz="0" w:space="0" w:color="auto"/>
        <w:bottom w:val="none" w:sz="0" w:space="0" w:color="auto"/>
        <w:right w:val="none" w:sz="0" w:space="0" w:color="auto"/>
      </w:divBdr>
    </w:div>
    <w:div w:id="1960455780">
      <w:bodyDiv w:val="1"/>
      <w:marLeft w:val="0"/>
      <w:marRight w:val="0"/>
      <w:marTop w:val="0"/>
      <w:marBottom w:val="0"/>
      <w:divBdr>
        <w:top w:val="none" w:sz="0" w:space="0" w:color="auto"/>
        <w:left w:val="none" w:sz="0" w:space="0" w:color="auto"/>
        <w:bottom w:val="none" w:sz="0" w:space="0" w:color="auto"/>
        <w:right w:val="none" w:sz="0" w:space="0" w:color="auto"/>
      </w:divBdr>
    </w:div>
    <w:div w:id="198083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Bhatt</dc:creator>
  <cp:keywords/>
  <dc:description/>
  <cp:lastModifiedBy>Shital Bhatt</cp:lastModifiedBy>
  <cp:revision>6</cp:revision>
  <dcterms:created xsi:type="dcterms:W3CDTF">2025-05-05T06:26:00Z</dcterms:created>
  <dcterms:modified xsi:type="dcterms:W3CDTF">2026-05-18T10:12:00Z</dcterms:modified>
</cp:coreProperties>
</file>