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936"/>
            <w:shd w:fill="0B4B33"/>
            <w:tcMar>
              <w:top w:w="260" w:type="dxa"/>
              <w:start w:w="200" w:type="dxa"/>
              <w:bottom w:w="260" w:type="dxa"/>
              <w:end w:w="2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88"/>
              </w:rPr>
              <w:t>EG</w:t>
            </w:r>
          </w:p>
          <w:p>
            <w:pPr>
              <w:jc w:val="center"/>
            </w:pPr>
            <w:r>
              <w:rPr>
                <w:b/>
                <w:color w:val="FFFFFF"/>
                <w:sz w:val="34"/>
              </w:rPr>
              <w:t>EAST GREEN HIGH SCHOOL</w:t>
            </w:r>
          </w:p>
        </w:tc>
      </w:tr>
    </w:tbl>
    <w:p/>
    <w:p>
      <w:pPr>
        <w:pStyle w:val="Title"/>
        <w:jc w:val="center"/>
      </w:pPr>
      <w:r>
        <w:t>EMERGENCY OPERATIONS PLAN</w:t>
      </w:r>
    </w:p>
    <w:p>
      <w:pPr>
        <w:jc w:val="center"/>
      </w:pPr>
      <w:r>
        <w:rPr>
          <w:b/>
          <w:color w:val="2D6A4F"/>
          <w:sz w:val="26"/>
        </w:rPr>
        <w:t>All-Hazards School Safety &amp; Continuity Framework</w:t>
      </w:r>
    </w:p>
    <w:p>
      <w:pPr>
        <w:jc w:val="center"/>
      </w:pPr>
      <w:r>
        <w:rPr>
          <w:b/>
          <w:color w:val="5C6861"/>
          <w:sz w:val="18"/>
        </w:rPr>
        <w:t>2026-2027 EDITION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360"/>
            <w:shd w:fill="EAF3EC"/>
            <w:tcBorders>
              <w:top w:sz="10" w:val="single" w:color="6AA84F"/>
              <w:left w:sz="10" w:val="single" w:color="6AA84F"/>
              <w:bottom w:sz="10" w:val="single" w:color="6AA84F"/>
              <w:right w:sz="10" w:val="single" w:color="6AA84F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B4B33"/>
                <w:sz w:val="22"/>
              </w:rPr>
              <w:t>LEARN. LEAD. SUCCEED.</w:t>
            </w:r>
          </w:p>
          <w:p>
            <w:pPr>
              <w:pStyle w:val="SmallNote"/>
              <w:jc w:val="center"/>
            </w:pPr>
            <w:r>
              <w:t>Operational template. Site-specific tactical/security annexes should be restricted and maintained separately.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left w:sz="18" w:val="single" w:color="6AA84F"/>
            </w:tcBorders>
            <w:tcMar>
              <w:top w:w="90" w:type="dxa"/>
              <w:start w:w="140" w:type="dxa"/>
              <w:bottom w:w="90" w:type="dxa"/>
              <w:end w:w="120" w:type="dxa"/>
            </w:tcMar>
          </w:tcPr>
          <w:p>
            <w:r>
              <w:rPr>
                <w:b/>
                <w:color w:val="0B4B33"/>
              </w:rPr>
              <w:t>IMPORTANT USE NOTICE</w:t>
            </w:r>
          </w:p>
          <w:p>
            <w:pPr>
              <w:pStyle w:val="SmallNote"/>
            </w:pPr>
            <w:r>
              <w:t>This handbook is a planning and response framework for East Green High School. It does not replace instructions from emergency services, district policy, building/fire codes, or legally required plans. Site-specific details such as exact assembly points, utility shutoffs, keys, camera locations, and law-enforcement tactics belong in a restricted annex.</w:t>
            </w:r>
          </w:p>
        </w:tc>
      </w:tr>
    </w:tbl>
    <w:p>
      <w:pPr>
        <w:pStyle w:val="Heading1"/>
      </w:pPr>
      <w:r>
        <w:t>Purpose &amp; Scope</w:t>
      </w:r>
    </w:p>
    <w:p>
      <w:r>
        <w:t>The Emergency Operations Plan (EOP) establishes a common framework for prevention, preparedness, response, continuity, and recovery. It is designed to help staff act quickly, account for students, communicate clearly, and transfer command to public-safety agencies when appropriate.</w:t>
      </w:r>
    </w:p>
    <w:p>
      <w:pPr>
        <w:pStyle w:val="ListBullet"/>
        <w:spacing w:after="50"/>
      </w:pPr>
      <w:r>
        <w:t>Applies during the instructional day, Green Day, school-sponsored events, and other periods when students or staff are under school supervision.</w:t>
      </w:r>
    </w:p>
    <w:p>
      <w:pPr>
        <w:pStyle w:val="ListBullet"/>
        <w:spacing w:after="50"/>
      </w:pPr>
      <w:r>
        <w:t>Uses an all-hazards approach: the same command, communication, accountability, accessibility, and reunification systems are used across different emergencies.</w:t>
      </w:r>
    </w:p>
    <w:p>
      <w:pPr>
        <w:pStyle w:val="ListBullet"/>
        <w:spacing w:after="50"/>
      </w:pPr>
      <w:r>
        <w:t>Prioritizes life safety, student accountability, incident stabilization, family communication, continuity of essential school functions, and recovery.</w:t>
      </w:r>
    </w:p>
    <w:p>
      <w:pPr>
        <w:pStyle w:val="Heading2"/>
      </w:pPr>
      <w:r>
        <w:t>Plan Ownership &amp; Annual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5"/>
              </w:rPr>
              <w:t>Role</w:t>
            </w:r>
          </w:p>
        </w:tc>
        <w:tc>
          <w:tcPr>
            <w:tcW w:type="dxa" w:w="403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5"/>
              </w:rPr>
              <w:t>Primary EOP Responsibility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5"/>
              </w:rPr>
              <w:t>Review Responsibility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Principal - Dr. Collin Bryant</w:t>
            </w:r>
          </w:p>
        </w:tc>
        <w:tc>
          <w:tcPr>
            <w:tcW w:type="dxa" w:w="403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Executive authority; incident leadership until relieved by public safety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Annual approval; post-incident corrective actions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AP, Operations &amp; Student Services - Dr. Barnabas Cook</w:t>
            </w:r>
          </w:p>
        </w:tc>
        <w:tc>
          <w:tcPr>
            <w:tcW w:type="dxa" w:w="403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Operations, student accountability, supervision, safety coordination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Drills, logistics, reunification readiness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AP, Curriculum &amp; Instruction - Hiring</w:t>
            </w:r>
          </w:p>
        </w:tc>
        <w:tc>
          <w:tcPr>
            <w:tcW w:type="dxa" w:w="403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Instructional continuity, staff accountability, academic recovery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Continuity plans, substitute/learning recovery</w:t>
            </w:r>
          </w:p>
        </w:tc>
      </w:tr>
      <w:tr>
        <w:trPr>
          <w:cantSplit/>
        </w:trPr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Counseling/Student Services</w:t>
            </w:r>
          </w:p>
        </w:tc>
        <w:tc>
          <w:tcPr>
            <w:tcW w:type="dxa" w:w="403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Student support, crisis response, reunification support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Wellness/recovery procedures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4B33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  <w:color w:val="FFFFFF"/>
                <w:sz w:val="26"/>
              </w:rPr>
              <w:t>INCIDENT ORGANIZATION</w:t>
            </w:r>
          </w:p>
          <w:p>
            <w:pPr>
              <w:pStyle w:val="SmallNote"/>
            </w:pPr>
            <w:r>
              <w:rPr>
                <w:color w:val="DDE9E1"/>
              </w:rPr>
              <w:t>Clear authority prevents conflicting instructions.</w:t>
            </w:r>
          </w:p>
        </w:tc>
      </w:tr>
    </w:tbl>
    <w:p/>
    <w:p>
      <w:pPr>
        <w:pStyle w:val="Heading1"/>
      </w:pPr>
      <w:r>
        <w:t>School Incident Leadership</w:t>
      </w:r>
    </w:p>
    <w:p>
      <w:pPr>
        <w:pStyle w:val="ListBullet"/>
        <w:spacing w:after="50"/>
      </w:pPr>
      <w:r>
        <w:t>The Principal serves as the school incident lead unless unavailable or command is transferred to fire, law enforcement, EMS, or another authorized public-safety agency.</w:t>
      </w:r>
    </w:p>
    <w:p>
      <w:pPr>
        <w:pStyle w:val="ListBullet"/>
        <w:spacing w:after="50"/>
      </w:pPr>
      <w:r>
        <w:t>Dr. Barnabas Cook coordinates campus operations, student movement/accountability, staff assignments, and logistics.</w:t>
      </w:r>
    </w:p>
    <w:p>
      <w:pPr>
        <w:pStyle w:val="ListBullet"/>
        <w:spacing w:after="50"/>
      </w:pPr>
      <w:r>
        <w:t>The Curriculum &amp; Instruction AP coordinates staff accountability, continuity of instruction, learning-space recovery, and academic communications as assigned.</w:t>
      </w:r>
    </w:p>
    <w:p>
      <w:pPr>
        <w:pStyle w:val="ListBullet"/>
        <w:spacing w:after="50"/>
      </w:pPr>
      <w:r>
        <w:t>The Front Office Administrative Assistant manages incoming calls/visitors only when safe and follows approved communication scripts.</w:t>
      </w:r>
    </w:p>
    <w:p>
      <w:pPr>
        <w:pStyle w:val="ListBullet"/>
        <w:spacing w:after="50"/>
      </w:pPr>
      <w:r>
        <w:t>The Registrar supports student rosters, emergency contact data, enrollment records, and accountability lists.</w:t>
      </w:r>
    </w:p>
    <w:p>
      <w:pPr>
        <w:pStyle w:val="ListBullet"/>
        <w:spacing w:after="50"/>
      </w:pPr>
      <w:r>
        <w:t>School counselors support students in crisis, reunification, family liaison work, and post-incident recovery; they do not replace emergency medical or law-enforcement personnel.</w:t>
      </w:r>
    </w:p>
    <w:p>
      <w:pPr>
        <w:pStyle w:val="ListBullet"/>
        <w:spacing w:after="50"/>
      </w:pPr>
      <w:r>
        <w:t>Teachers maintain supervision, follow the announced protective action, take attendance/accountability, report missing/extra students, and wait for verified instructions.</w:t>
      </w:r>
    </w:p>
    <w:p>
      <w:pPr>
        <w:pStyle w:val="Heading2"/>
      </w:pPr>
      <w:r>
        <w:t>Order of Succession</w:t>
      </w:r>
    </w:p>
    <w:p>
      <w:pPr>
        <w:spacing w:after="50"/>
        <w:ind w:left="259" w:hanging="259"/>
      </w:pPr>
      <w:r>
        <w:t>1. Principal</w:t>
      </w:r>
    </w:p>
    <w:p>
      <w:pPr>
        <w:spacing w:after="50"/>
        <w:ind w:left="259" w:hanging="259"/>
      </w:pPr>
      <w:r>
        <w:t>2. Assistant Principal of Operations &amp; Student Services</w:t>
      </w:r>
    </w:p>
    <w:p>
      <w:pPr>
        <w:spacing w:after="50"/>
        <w:ind w:left="259" w:hanging="259"/>
      </w:pPr>
      <w:r>
        <w:t>3. Assistant Principal of Curriculum &amp; Instruction</w:t>
      </w:r>
    </w:p>
    <w:p>
      <w:pPr>
        <w:spacing w:after="50"/>
        <w:ind w:left="259" w:hanging="259"/>
      </w:pPr>
      <w:r>
        <w:t>4. Administrator or designee named in the restricted contact annex</w:t>
      </w:r>
    </w:p>
    <w:p>
      <w:pPr>
        <w:pStyle w:val="Heading2"/>
      </w:pPr>
      <w:r>
        <w:t>Emergency Activation Levels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1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88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6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Examples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Level 1 - Localized</w:t>
            </w:r>
          </w:p>
        </w:tc>
        <w:tc>
          <w:tcPr>
            <w:tcW w:type="dxa" w:w="388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Limited incident managed by normal school resources.</w:t>
            </w:r>
          </w:p>
        </w:tc>
        <w:tc>
          <w:tcPr>
            <w:tcW w:type="dxa" w:w="36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Minor injury, isolated utility issue, small behavior incident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Level 2 - Schoolwide</w:t>
            </w:r>
          </w:p>
        </w:tc>
        <w:tc>
          <w:tcPr>
            <w:tcW w:type="dxa" w:w="388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Requires coordinated protective action or significant operational response.</w:t>
            </w:r>
          </w:p>
        </w:tc>
        <w:tc>
          <w:tcPr>
            <w:tcW w:type="dxa" w:w="36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Severe weather warning, building-wide evacuation, significant medical emergency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Level 3 - Unified/Public Safety</w:t>
            </w:r>
          </w:p>
        </w:tc>
        <w:tc>
          <w:tcPr>
            <w:tcW w:type="dxa" w:w="388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Public-safety agencies assume or share incident command.</w:t>
            </w:r>
          </w:p>
        </w:tc>
        <w:tc>
          <w:tcPr>
            <w:tcW w:type="dxa" w:w="360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Fire, hazardous release, serious threat/violence, major infrastructure failure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4B33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  <w:color w:val="FFFFFF"/>
                <w:sz w:val="26"/>
              </w:rPr>
              <w:t>PROTECTIVE ACTIONS</w:t>
            </w:r>
          </w:p>
          <w:p>
            <w:pPr>
              <w:pStyle w:val="SmallNote"/>
            </w:pPr>
            <w:r>
              <w:rPr>
                <w:color w:val="DDE9E1"/>
              </w:rPr>
              <w:t>Staff should use plain language and the schoolwide action terms below.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728"/>
            <w:shd w:fill="0B4B33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r>
              <w:rPr>
                <w:b/>
                <w:color w:val="FFFFFF"/>
                <w:sz w:val="19"/>
              </w:rPr>
              <w:t>HOLD</w:t>
            </w:r>
          </w:p>
        </w:tc>
        <w:tc>
          <w:tcPr>
            <w:tcW w:type="dxa" w:w="7632"/>
            <w:shd w:fill="F6F9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r>
              <w:rPr>
                <w:sz w:val="16"/>
              </w:rPr>
              <w:t>Keep students in current rooms/areas and clear hallways while an internal issue is resolved. Instruction may continue if directed.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728"/>
            <w:shd w:fill="0B4B33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r>
              <w:rPr>
                <w:b/>
                <w:color w:val="FFFFFF"/>
                <w:sz w:val="19"/>
              </w:rPr>
              <w:t>SECURE</w:t>
            </w:r>
          </w:p>
        </w:tc>
        <w:tc>
          <w:tcPr>
            <w:tcW w:type="dxa" w:w="7632"/>
            <w:shd w:fill="F6F9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r>
              <w:rPr>
                <w:sz w:val="16"/>
              </w:rPr>
              <w:t>Bring students/staff inside and restrict exterior access because the concern is outside or near campus. Continue normal indoor operations when appropriate.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728"/>
            <w:shd w:fill="0B4B33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r>
              <w:rPr>
                <w:b/>
                <w:color w:val="FFFFFF"/>
                <w:sz w:val="19"/>
              </w:rPr>
              <w:t>LOCKDOWN</w:t>
            </w:r>
          </w:p>
        </w:tc>
        <w:tc>
          <w:tcPr>
            <w:tcW w:type="dxa" w:w="7632"/>
            <w:shd w:fill="F6F9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r>
              <w:rPr>
                <w:sz w:val="16"/>
              </w:rPr>
              <w:t>Immediately secure occupied spaces, move out of view as feasible, silence devices, maintain quiet, and await verified instructions. Do not open doors based on unverified requests.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728"/>
            <w:shd w:fill="0B4B33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r>
              <w:rPr>
                <w:b/>
                <w:color w:val="FFFFFF"/>
                <w:sz w:val="19"/>
              </w:rPr>
              <w:t>EVACUATE</w:t>
            </w:r>
          </w:p>
        </w:tc>
        <w:tc>
          <w:tcPr>
            <w:tcW w:type="dxa" w:w="7632"/>
            <w:shd w:fill="F6F9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r>
              <w:rPr>
                <w:sz w:val="16"/>
              </w:rPr>
              <w:t>Move students and staff out of the building using the announced route or safest available route. Take accountability at the designated area.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1728"/>
            <w:shd w:fill="0B4B33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r>
              <w:rPr>
                <w:b/>
                <w:color w:val="FFFFFF"/>
                <w:sz w:val="19"/>
              </w:rPr>
              <w:t>SHELTER</w:t>
            </w:r>
          </w:p>
        </w:tc>
        <w:tc>
          <w:tcPr>
            <w:tcW w:type="dxa" w:w="7632"/>
            <w:shd w:fill="F6F9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r>
              <w:rPr>
                <w:sz w:val="16"/>
              </w:rPr>
              <w:t>Move to the designated protective location/position for a hazard such as severe weather, environmental danger, or another announced condition.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EC"/>
            <w:tcBorders>
              <w:left w:sz="18" w:val="single" w:color="6AA84F"/>
            </w:tcBorders>
            <w:tcMar>
              <w:top w:w="90" w:type="dxa"/>
              <w:start w:w="140" w:type="dxa"/>
              <w:bottom w:w="90" w:type="dxa"/>
              <w:end w:w="120" w:type="dxa"/>
            </w:tcMar>
          </w:tcPr>
          <w:p>
            <w:r>
              <w:rPr>
                <w:b/>
                <w:color w:val="0B4B33"/>
              </w:rPr>
              <w:t>VERIFY BEFORE RELEASE</w:t>
            </w:r>
          </w:p>
          <w:p>
            <w:pPr>
              <w:pStyle w:val="SmallNote"/>
            </w:pPr>
            <w:r>
              <w:t>Protective actions end only through a verified all-clear or direct instruction from the administrator/public-safety authority in command. Staff should not end a lockdown, secure, shelter, or evacuation based on rumor, social media, or an unverified message.</w:t>
            </w:r>
          </w:p>
        </w:tc>
      </w:tr>
    </w:tbl>
    <w:p>
      <w:pPr>
        <w:pStyle w:val="Heading1"/>
      </w:pPr>
      <w:r>
        <w:t>Student Accountability Standard</w:t>
      </w:r>
    </w:p>
    <w:p>
      <w:pPr>
        <w:spacing w:after="50"/>
        <w:ind w:left="259" w:hanging="259"/>
      </w:pPr>
      <w:r>
        <w:t>1. Take the class roster or use the approved digital roster when available.</w:t>
      </w:r>
    </w:p>
    <w:p>
      <w:pPr>
        <w:spacing w:after="50"/>
        <w:ind w:left="259" w:hanging="259"/>
      </w:pPr>
      <w:r>
        <w:t>2. At the protective location, account for every student assigned to the class and note any student who joined from another area.</w:t>
      </w:r>
    </w:p>
    <w:p>
      <w:pPr>
        <w:spacing w:after="50"/>
        <w:ind w:left="259" w:hanging="259"/>
      </w:pPr>
      <w:r>
        <w:t>3. Report missing, injured, extra, or unaccounted-for students using the school accountability method.</w:t>
      </w:r>
    </w:p>
    <w:p>
      <w:pPr>
        <w:spacing w:after="50"/>
        <w:ind w:left="259" w:hanging="259"/>
      </w:pPr>
      <w:r>
        <w:t>4. Do not send students to search for other students.</w:t>
      </w:r>
    </w:p>
    <w:p>
      <w:pPr>
        <w:spacing w:after="50"/>
        <w:ind w:left="259" w:hanging="259"/>
      </w:pPr>
      <w:r>
        <w:t>5. Maintain supervision until students are formally transferred to another staff member, reunified, or released by authorized personnel.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4B33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  <w:color w:val="FFFFFF"/>
                <w:sz w:val="26"/>
              </w:rPr>
              <w:t>COMMUNICATION &amp; INFORMATION</w:t>
            </w:r>
          </w:p>
          <w:p>
            <w:pPr>
              <w:pStyle w:val="SmallNote"/>
            </w:pPr>
            <w:r>
              <w:rPr>
                <w:color w:val="DDE9E1"/>
              </w:rPr>
              <w:t>Fast communication must also be accurate communication.</w:t>
            </w:r>
          </w:p>
        </w:tc>
      </w:tr>
    </w:tbl>
    <w:p/>
    <w:p>
      <w:pPr>
        <w:pStyle w:val="Heading1"/>
      </w:pPr>
      <w:r>
        <w:t>Communication Priorities</w:t>
      </w:r>
    </w:p>
    <w:p>
      <w:pPr>
        <w:pStyle w:val="ListBullet"/>
        <w:spacing w:after="50"/>
      </w:pPr>
      <w:r>
        <w:t>Life-safety instructions to students and staff.</w:t>
      </w:r>
    </w:p>
    <w:p>
      <w:pPr>
        <w:pStyle w:val="ListBullet"/>
        <w:spacing w:after="50"/>
      </w:pPr>
      <w:r>
        <w:t>911/public-safety notification when warranted.</w:t>
      </w:r>
    </w:p>
    <w:p>
      <w:pPr>
        <w:pStyle w:val="ListBullet"/>
        <w:spacing w:after="50"/>
      </w:pPr>
      <w:r>
        <w:t>Internal administrator and staff coordination.</w:t>
      </w:r>
    </w:p>
    <w:p>
      <w:pPr>
        <w:pStyle w:val="ListBullet"/>
        <w:spacing w:after="50"/>
      </w:pPr>
      <w:r>
        <w:t>Student accountability and missing/injured-person information.</w:t>
      </w:r>
    </w:p>
    <w:p>
      <w:pPr>
        <w:pStyle w:val="ListBullet"/>
        <w:spacing w:after="50"/>
      </w:pPr>
      <w:r>
        <w:t>Family communication through approved school channels.</w:t>
      </w:r>
    </w:p>
    <w:p>
      <w:pPr>
        <w:pStyle w:val="ListBullet"/>
        <w:spacing w:after="50"/>
      </w:pPr>
      <w:r>
        <w:t>Media/public statements issued only by the Principal or designated communications authority.</w:t>
      </w:r>
    </w:p>
    <w:p>
      <w:pPr>
        <w:pStyle w:val="Heading2"/>
      </w:pPr>
      <w:r>
        <w:t>Message Standards</w:t>
      </w:r>
    </w:p>
    <w:p>
      <w:pPr>
        <w:pStyle w:val="ListBullet"/>
        <w:spacing w:after="50"/>
      </w:pPr>
      <w:r>
        <w:t>Use plain language: name the protective action, location/area if appropriate, and required action.</w:t>
      </w:r>
    </w:p>
    <w:p>
      <w:pPr>
        <w:pStyle w:val="ListBullet"/>
        <w:spacing w:after="50"/>
      </w:pPr>
      <w:r>
        <w:t>Do not speculate about motives, identities, injuries, or law-enforcement activity.</w:t>
      </w:r>
    </w:p>
    <w:p>
      <w:pPr>
        <w:pStyle w:val="ListBullet"/>
        <w:spacing w:after="50"/>
      </w:pPr>
      <w:r>
        <w:t>Do not post student names, medical details, or personally identifiable information publicly.</w:t>
      </w:r>
    </w:p>
    <w:p>
      <w:pPr>
        <w:pStyle w:val="ListBullet"/>
        <w:spacing w:after="50"/>
      </w:pPr>
      <w:r>
        <w:t>Staff should direct families to the official reunification/communication channel rather than giving individual unofficial instructions.</w:t>
      </w:r>
    </w:p>
    <w:p>
      <w:pPr>
        <w:pStyle w:val="Heading2"/>
      </w:pPr>
      <w:r>
        <w:t>Emergency Contact Sheet - Restricted Annex Placeholder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0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Contact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Primary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Alternate</w:t>
            </w: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Emergency Services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District/Owner Leadership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Fire Department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Law Enforcement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EMS/Hospital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Utilities/Facilities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0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Transportation</w:t>
            </w: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32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</w:tr>
    </w:tbl>
    <w:p>
      <w:pPr>
        <w:pStyle w:val="SmallNote"/>
      </w:pPr>
      <w:r>
        <w:t>Do not publish personal phone numbers or security-sensitive contact details in public copies of the EOP.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4B33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  <w:color w:val="FFFFFF"/>
                <w:sz w:val="26"/>
              </w:rPr>
              <w:t>HAZARD RESPONSE GUIDES</w:t>
            </w:r>
          </w:p>
          <w:p>
            <w:pPr>
              <w:pStyle w:val="SmallNote"/>
            </w:pPr>
            <w:r>
              <w:rPr>
                <w:color w:val="DDE9E1"/>
              </w:rPr>
              <w:t>These are staff-level actions; public-safety directions always take priority.</w:t>
            </w:r>
          </w:p>
        </w:tc>
      </w:tr>
    </w:tbl>
    <w:p/>
    <w:p>
      <w:pPr>
        <w:pStyle w:val="Heading2"/>
      </w:pPr>
      <w:r>
        <w:t>Fire / Smoke</w:t>
      </w:r>
    </w:p>
    <w:p>
      <w:r>
        <w:t>Activate alarm/notify office or 911 as appropriate; evacuate using safe route; close doors if safe; take accountability; do not re-enter until authorized.</w:t>
      </w:r>
    </w:p>
    <w:p>
      <w:pPr>
        <w:pStyle w:val="Heading2"/>
      </w:pPr>
      <w:r>
        <w:t>Severe Weather / Tornado</w:t>
      </w:r>
    </w:p>
    <w:p>
      <w:r>
        <w:t>Move to designated interior shelter areas away from glass; use protective position; account for students; remain sheltered until verified release.</w:t>
      </w:r>
    </w:p>
    <w:p>
      <w:pPr>
        <w:pStyle w:val="Heading2"/>
      </w:pPr>
      <w:r>
        <w:t>Medical Emergency</w:t>
      </w:r>
    </w:p>
    <w:p>
      <w:r>
        <w:t>Call for school medical support/911 as appropriate; send a responsible person for help if safe; provide only care within training; protect privacy; document after stabilization.</w:t>
      </w:r>
    </w:p>
    <w:p>
      <w:pPr>
        <w:pStyle w:val="Heading2"/>
      </w:pPr>
      <w:r>
        <w:t>Hazardous Material / Gas Odor</w:t>
      </w:r>
    </w:p>
    <w:p>
      <w:r>
        <w:t>Avoid the affected area; do not operate switches or create ignition sources if gas is suspected; notify administration/911; follow evacuation or shelter instructions.</w:t>
      </w:r>
    </w:p>
    <w:p>
      <w:pPr>
        <w:pStyle w:val="Heading2"/>
      </w:pPr>
      <w:r>
        <w:t>Utility / Power Failure</w:t>
      </w:r>
    </w:p>
    <w:p>
      <w:r>
        <w:t>Keep students supervised; use emergency lighting; restrict movement in dark/unsafe areas; administration determines continuation, relocation, or dismissal.</w:t>
      </w:r>
    </w:p>
    <w:p>
      <w:pPr>
        <w:pStyle w:val="Heading2"/>
      </w:pPr>
      <w:r>
        <w:t>Missing / Unaccounted Student</w:t>
      </w:r>
    </w:p>
    <w:p>
      <w:r>
        <w:t>Notify administration immediately; verify last known location and schedule; preserve supervision of other students; administrators coordinate search and family/public-safety notification.</w:t>
      </w:r>
    </w:p>
    <w:p>
      <w:pPr>
        <w:pStyle w:val="Heading2"/>
      </w:pPr>
      <w:r>
        <w:t>Suspicious Item / Threatening Communication</w:t>
      </w:r>
    </w:p>
    <w:p>
      <w:r>
        <w:t>Do not handle suspicious items; isolate area; preserve the message/evidence; notify administration/public safety; follow protective action instructions.</w:t>
      </w:r>
    </w:p>
    <w:p>
      <w:pPr>
        <w:pStyle w:val="Heading2"/>
      </w:pPr>
      <w:r>
        <w:t>Violence / Weapon Threat</w:t>
      </w:r>
    </w:p>
    <w:p>
      <w:r>
        <w:t>Call 911 when safe; initiate/obey protective action; staff prioritize immediate life safety and student supervision; do not conduct independent investigation or confrontation.</w:t>
      </w:r>
    </w:p>
    <w:p>
      <w:pPr>
        <w:pStyle w:val="Heading2"/>
      </w:pPr>
      <w:r>
        <w:t>Transportation Incident</w:t>
      </w:r>
    </w:p>
    <w:p>
      <w:r>
        <w:t>Account for students; request EMS/public-safety support as needed; keep students together in a safe location; notify families through official channels.</w:t>
      </w:r>
    </w:p>
    <w:p>
      <w:pPr>
        <w:pStyle w:val="Heading2"/>
      </w:pPr>
      <w:r>
        <w:t>Earthquake / Structural Movement</w:t>
      </w:r>
    </w:p>
    <w:p>
      <w:r>
        <w:t>Drop/protect from falling objects during shaking if indoors; after movement stops, assess hazards and follow evacuation instructions if needed.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EC"/>
            <w:tcBorders>
              <w:left w:sz="18" w:val="single" w:color="6AA84F"/>
            </w:tcBorders>
            <w:tcMar>
              <w:top w:w="90" w:type="dxa"/>
              <w:start w:w="140" w:type="dxa"/>
              <w:bottom w:w="90" w:type="dxa"/>
              <w:end w:w="120" w:type="dxa"/>
            </w:tcMar>
          </w:tcPr>
          <w:p>
            <w:r>
              <w:rPr>
                <w:b/>
                <w:color w:val="0B4B33"/>
              </w:rPr>
              <w:t>SECURITY-SENSITIVE ANNEX</w:t>
            </w:r>
          </w:p>
          <w:p>
            <w:pPr>
              <w:pStyle w:val="SmallNote"/>
            </w:pPr>
            <w:r>
              <w:t>Exact lockdown hiding locations, law-enforcement staging points, camera coverage, master-key information, alarm codes, and other vulnerability-sensitive details are intentionally excluded from this general handbook.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4B33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  <w:color w:val="FFFFFF"/>
                <w:sz w:val="26"/>
              </w:rPr>
              <w:t>REUNIFICATION</w:t>
            </w:r>
          </w:p>
          <w:p>
            <w:pPr>
              <w:pStyle w:val="SmallNote"/>
            </w:pPr>
            <w:r>
              <w:rPr>
                <w:color w:val="DDE9E1"/>
              </w:rPr>
              <w:t>Students are released only through a controlled, documented process.</w:t>
            </w:r>
          </w:p>
        </w:tc>
      </w:tr>
    </w:tbl>
    <w:p/>
    <w:p>
      <w:pPr>
        <w:pStyle w:val="Heading1"/>
      </w:pPr>
      <w:r>
        <w:t>Reunification Principles</w:t>
      </w:r>
    </w:p>
    <w:p>
      <w:pPr>
        <w:pStyle w:val="ListBullet"/>
        <w:spacing w:after="50"/>
      </w:pPr>
      <w:r>
        <w:t>Administration selects and announces the reunification site based on the incident; the site may be on or off campus.</w:t>
      </w:r>
    </w:p>
    <w:p>
      <w:pPr>
        <w:pStyle w:val="ListBullet"/>
        <w:spacing w:after="50"/>
      </w:pPr>
      <w:r>
        <w:t>Student supervision and accountability continue throughout transport and reunification.</w:t>
      </w:r>
    </w:p>
    <w:p>
      <w:pPr>
        <w:pStyle w:val="ListBullet"/>
        <w:spacing w:after="50"/>
      </w:pPr>
      <w:r>
        <w:t>Only authorized adults listed in student records may receive a student unless an administrator approves an emergency exception consistent with policy.</w:t>
      </w:r>
    </w:p>
    <w:p>
      <w:pPr>
        <w:pStyle w:val="ListBullet"/>
        <w:spacing w:after="50"/>
      </w:pPr>
      <w:r>
        <w:t>Identity is verified before release. The student's release is documented with time, recipient, and staff initials.</w:t>
      </w:r>
    </w:p>
    <w:p>
      <w:pPr>
        <w:pStyle w:val="ListBullet"/>
        <w:spacing w:after="50"/>
      </w:pPr>
      <w:r>
        <w:t>Counselors support distressed students/families and identify students who may need additional assistance.</w:t>
      </w:r>
    </w:p>
    <w:p>
      <w:pPr>
        <w:pStyle w:val="ListBullet"/>
        <w:spacing w:after="50"/>
      </w:pPr>
      <w:r>
        <w:t>Unclaimed students remain supervised until an approved disposition is arranged.</w:t>
      </w:r>
    </w:p>
    <w:p>
      <w:pPr>
        <w:pStyle w:val="Heading2"/>
      </w:pPr>
      <w:r>
        <w:t>Reunification Functional Areas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9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Function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Lead/Support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Check-In</w:t>
            </w:r>
          </w:p>
        </w:tc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Verify authorized adult and student request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Front Office / Registrar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Student Assembly</w:t>
            </w:r>
          </w:p>
        </w:tc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Keep students grouped, supervised, and accountable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Teachers / designated staff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Student Runner</w:t>
            </w:r>
          </w:p>
        </w:tc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Connect verified request with student assembly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Assigned staff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Release</w:t>
            </w:r>
          </w:p>
        </w:tc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Document transfer of student to authorized adult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Registrar / designated staff</w:t>
            </w:r>
          </w:p>
        </w:tc>
      </w:tr>
      <w:tr>
        <w:trPr>
          <w:cantSplit/>
        </w:trPr>
        <w:tc>
          <w:tcPr>
            <w:tcW w:type="dxa" w:w="194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Support</w:t>
            </w:r>
          </w:p>
        </w:tc>
        <w:tc>
          <w:tcPr>
            <w:tcW w:type="dxa" w:w="46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Crisis support, special circumstances, unresolved cases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Counselors / Administrator</w:t>
            </w:r>
          </w:p>
        </w:tc>
      </w:tr>
    </w:tbl>
    <w:p>
      <w:pPr>
        <w:pStyle w:val="Heading1"/>
      </w:pPr>
      <w:r>
        <w:t>Accessibility &amp; Functional Needs</w:t>
      </w:r>
    </w:p>
    <w:p>
      <w:pPr>
        <w:pStyle w:val="ListBullet"/>
        <w:spacing w:after="50"/>
      </w:pPr>
      <w:r>
        <w:t>Emergency planning must account for mobility, sensory, communication, medical, language, behavioral, and other access needs.</w:t>
      </w:r>
    </w:p>
    <w:p>
      <w:pPr>
        <w:pStyle w:val="ListBullet"/>
        <w:spacing w:after="50"/>
      </w:pPr>
      <w:r>
        <w:t>Individual support assignments should be planned in advance when appropriate, without publicly labeling students.</w:t>
      </w:r>
    </w:p>
    <w:p>
      <w:pPr>
        <w:pStyle w:val="ListBullet"/>
        <w:spacing w:after="50"/>
      </w:pPr>
      <w:r>
        <w:t>Essential medications, mobility devices, communication supports, and accessibility needs should be considered during evacuation, shelter, and reunification.</w:t>
      </w:r>
    </w:p>
    <w:p>
      <w:pPr>
        <w:pStyle w:val="ListBullet"/>
        <w:spacing w:after="50"/>
      </w:pPr>
      <w:r>
        <w:t>If normal routes or procedures are inaccessible, staff use the approved alternate method in the restricted/site-specific plan.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4B33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  <w:color w:val="FFFFFF"/>
                <w:sz w:val="26"/>
              </w:rPr>
              <w:t>CONTINUITY &amp; RECOVERY</w:t>
            </w:r>
          </w:p>
          <w:p>
            <w:pPr>
              <w:pStyle w:val="SmallNote"/>
            </w:pPr>
            <w:r>
              <w:rPr>
                <w:color w:val="DDE9E1"/>
              </w:rPr>
              <w:t>The emergency is not over when the immediate threat ends.</w:t>
            </w:r>
          </w:p>
        </w:tc>
      </w:tr>
    </w:tbl>
    <w:p/>
    <w:p>
      <w:pPr>
        <w:pStyle w:val="Heading1"/>
      </w:pPr>
      <w:r>
        <w:t>Continuity Priorities</w:t>
      </w:r>
    </w:p>
    <w:p>
      <w:pPr>
        <w:spacing w:after="50"/>
        <w:ind w:left="259" w:hanging="259"/>
      </w:pPr>
      <w:r>
        <w:t>1. Account for students and staff and address immediate health/safety needs.</w:t>
      </w:r>
    </w:p>
    <w:p>
      <w:pPr>
        <w:spacing w:after="50"/>
        <w:ind w:left="259" w:hanging="259"/>
      </w:pPr>
      <w:r>
        <w:t>2. Determine building usability and required relocations.</w:t>
      </w:r>
    </w:p>
    <w:p>
      <w:pPr>
        <w:spacing w:after="50"/>
        <w:ind w:left="259" w:hanging="259"/>
      </w:pPr>
      <w:r>
        <w:t>3. Restore communication, attendance, student records, and essential administrative functions.</w:t>
      </w:r>
    </w:p>
    <w:p>
      <w:pPr>
        <w:spacing w:after="50"/>
        <w:ind w:left="259" w:hanging="259"/>
      </w:pPr>
      <w:r>
        <w:t>4. Establish temporary instructional arrangements if normal classes cannot resume.</w:t>
      </w:r>
    </w:p>
    <w:p>
      <w:pPr>
        <w:spacing w:after="50"/>
        <w:ind w:left="259" w:hanging="259"/>
      </w:pPr>
      <w:r>
        <w:t>5. Provide student/staff mental-health support and referrals.</w:t>
      </w:r>
    </w:p>
    <w:p>
      <w:pPr>
        <w:spacing w:after="50"/>
        <w:ind w:left="259" w:hanging="259"/>
      </w:pPr>
      <w:r>
        <w:t>6. Document decisions, costs, damage, and recovery actions.</w:t>
      </w:r>
    </w:p>
    <w:p>
      <w:pPr>
        <w:spacing w:after="50"/>
        <w:ind w:left="259" w:hanging="259"/>
      </w:pPr>
      <w:r>
        <w:t>7. Conduct an after-action review and update the EOP.</w:t>
      </w:r>
    </w:p>
    <w:p>
      <w:pPr>
        <w:pStyle w:val="Heading1"/>
      </w:pPr>
      <w:r>
        <w:t>Drills &amp; Exercises</w:t>
      </w:r>
    </w:p>
    <w:p>
      <w:pPr>
        <w:pStyle w:val="ListBullet"/>
        <w:spacing w:after="50"/>
      </w:pPr>
      <w:r>
        <w:t>Conduct drills according to applicable law, fire code, district policy, and local public-safety guidance.</w:t>
      </w:r>
    </w:p>
    <w:p>
      <w:pPr>
        <w:pStyle w:val="ListBullet"/>
        <w:spacing w:after="50"/>
      </w:pPr>
      <w:r>
        <w:t>Use age-appropriate, trauma-informed procedures; drills should teach actions rather than simulate graphic violence.</w:t>
      </w:r>
    </w:p>
    <w:p>
      <w:pPr>
        <w:pStyle w:val="ListBullet"/>
        <w:spacing w:after="50"/>
      </w:pPr>
      <w:r>
        <w:t>Vary times, locations, and conditions over the year when safe to do so.</w:t>
      </w:r>
    </w:p>
    <w:p>
      <w:pPr>
        <w:pStyle w:val="ListBullet"/>
        <w:spacing w:after="50"/>
      </w:pPr>
      <w:r>
        <w:t>Document each drill: date, action practiced, start/end time, accountability issues, communication issues, accessibility concerns, and corrective actions.</w:t>
      </w:r>
    </w:p>
    <w:p>
      <w:pPr>
        <w:pStyle w:val="ListBullet"/>
        <w:spacing w:after="50"/>
      </w:pPr>
      <w:r>
        <w:t>At least annually, administrators should conduct a tabletop discussion of a complex scenario and review continuity/reunification procedures.</w:t>
      </w:r>
    </w:p>
    <w:p>
      <w:pPr>
        <w:pStyle w:val="Heading2"/>
      </w:pPr>
      <w:r>
        <w:t>After-Action Review Questions</w:t>
      </w:r>
    </w:p>
    <w:p>
      <w:pPr>
        <w:pStyle w:val="ListBullet"/>
        <w:spacing w:after="50"/>
      </w:pPr>
      <w:r>
        <w:t>What happened and what actions were taken?</w:t>
      </w:r>
    </w:p>
    <w:p>
      <w:pPr>
        <w:pStyle w:val="ListBullet"/>
        <w:spacing w:after="50"/>
      </w:pPr>
      <w:r>
        <w:t>Were protective-action instructions understood?</w:t>
      </w:r>
    </w:p>
    <w:p>
      <w:pPr>
        <w:pStyle w:val="ListBullet"/>
        <w:spacing w:after="50"/>
      </w:pPr>
      <w:r>
        <w:t>Could every class account for students?</w:t>
      </w:r>
    </w:p>
    <w:p>
      <w:pPr>
        <w:pStyle w:val="ListBullet"/>
        <w:spacing w:after="50"/>
      </w:pPr>
      <w:r>
        <w:t>Did communication channels work?</w:t>
      </w:r>
    </w:p>
    <w:p>
      <w:pPr>
        <w:pStyle w:val="ListBullet"/>
        <w:spacing w:after="50"/>
      </w:pPr>
      <w:r>
        <w:t>Were accessibility needs met?</w:t>
      </w:r>
    </w:p>
    <w:p>
      <w:pPr>
        <w:pStyle w:val="ListBullet"/>
        <w:spacing w:after="50"/>
      </w:pPr>
      <w:r>
        <w:t>What resources were missing?</w:t>
      </w:r>
    </w:p>
    <w:p>
      <w:pPr>
        <w:pStyle w:val="ListBullet"/>
        <w:spacing w:after="50"/>
      </w:pPr>
      <w:r>
        <w:t>What policy, training, facility, or staffing changes are required?</w:t>
      </w:r>
    </w:p>
    <w:p>
      <w:pPr>
        <w:pStyle w:val="ListBullet"/>
        <w:spacing w:after="50"/>
      </w:pPr>
      <w:r>
        <w:t>Who owns each corrective action and by what date?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B4B33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r>
              <w:rPr>
                <w:b/>
                <w:color w:val="FFFFFF"/>
                <w:sz w:val="26"/>
              </w:rPr>
              <w:t>QUICK-REFERENCE APPENDICES</w:t>
            </w:r>
          </w:p>
          <w:p>
            <w:pPr>
              <w:pStyle w:val="SmallNote"/>
            </w:pPr>
            <w:r>
              <w:rPr>
                <w:color w:val="DDE9E1"/>
              </w:rPr>
              <w:t>Print or adapt these pages for staff emergency binders.</w:t>
            </w:r>
          </w:p>
        </w:tc>
      </w:tr>
    </w:tbl>
    <w:p/>
    <w:p>
      <w:pPr>
        <w:pStyle w:val="Heading2"/>
      </w:pPr>
      <w:r>
        <w:t>Teacher Emergency Quick Card</w:t>
      </w:r>
    </w:p>
    <w:p>
      <w:pPr>
        <w:pStyle w:val="ListBullet"/>
        <w:spacing w:after="50"/>
      </w:pPr>
      <w:r>
        <w:t>[ ] Follow the announced protective action immediately.</w:t>
      </w:r>
    </w:p>
    <w:p>
      <w:pPr>
        <w:pStyle w:val="ListBullet"/>
        <w:spacing w:after="50"/>
      </w:pPr>
      <w:r>
        <w:t>[ ] Take roster/account for students.</w:t>
      </w:r>
    </w:p>
    <w:p>
      <w:pPr>
        <w:pStyle w:val="ListBullet"/>
        <w:spacing w:after="50"/>
      </w:pPr>
      <w:r>
        <w:t>[ ] Bring/retain emergency go-kit if safe and immediately available.</w:t>
      </w:r>
    </w:p>
    <w:p>
      <w:pPr>
        <w:pStyle w:val="ListBullet"/>
        <w:spacing w:after="50"/>
      </w:pPr>
      <w:r>
        <w:t>[ ] Keep students supervised and together.</w:t>
      </w:r>
    </w:p>
    <w:p>
      <w:pPr>
        <w:pStyle w:val="ListBullet"/>
        <w:spacing w:after="50"/>
      </w:pPr>
      <w:r>
        <w:t>[ ] Report missing/injured/extra students.</w:t>
      </w:r>
    </w:p>
    <w:p>
      <w:pPr>
        <w:pStyle w:val="ListBullet"/>
        <w:spacing w:after="50"/>
      </w:pPr>
      <w:r>
        <w:t>[ ] Maintain student privacy and do not post incident details.</w:t>
      </w:r>
    </w:p>
    <w:p>
      <w:pPr>
        <w:pStyle w:val="ListBullet"/>
        <w:spacing w:after="50"/>
      </w:pPr>
      <w:r>
        <w:t>[ ] Wait for verified all-clear or public-safety instruction.</w:t>
      </w:r>
    </w:p>
    <w:p>
      <w:pPr>
        <w:pStyle w:val="ListBullet"/>
        <w:spacing w:after="50"/>
      </w:pPr>
      <w:r>
        <w:t>[ ] Document relevant facts after the incident.</w:t>
      </w:r>
    </w:p>
    <w:p>
      <w:pPr>
        <w:pStyle w:val="Heading2"/>
      </w:pPr>
      <w:r>
        <w:t>Classroom Emergency Go-Kit Checklist</w:t>
      </w:r>
    </w:p>
    <w:p>
      <w:pPr>
        <w:pStyle w:val="ListBullet"/>
        <w:spacing w:after="50"/>
      </w:pPr>
      <w:r>
        <w:t>[ ] Current class rosters</w:t>
      </w:r>
    </w:p>
    <w:p>
      <w:pPr>
        <w:pStyle w:val="ListBullet"/>
        <w:spacing w:after="50"/>
      </w:pPr>
      <w:r>
        <w:t>[ ] Basic first-aid supplies</w:t>
      </w:r>
    </w:p>
    <w:p>
      <w:pPr>
        <w:pStyle w:val="ListBullet"/>
        <w:spacing w:after="50"/>
      </w:pPr>
      <w:r>
        <w:t>[ ] Flashlight / spare batteries</w:t>
      </w:r>
    </w:p>
    <w:p>
      <w:pPr>
        <w:pStyle w:val="ListBullet"/>
        <w:spacing w:after="50"/>
      </w:pPr>
      <w:r>
        <w:t>[ ] High-visibility vest or room identifier if used</w:t>
      </w:r>
    </w:p>
    <w:p>
      <w:pPr>
        <w:pStyle w:val="ListBullet"/>
        <w:spacing w:after="50"/>
      </w:pPr>
      <w:r>
        <w:t>[ ] Paper/pencil and accountability cards</w:t>
      </w:r>
    </w:p>
    <w:p>
      <w:pPr>
        <w:pStyle w:val="ListBullet"/>
        <w:spacing w:after="50"/>
      </w:pPr>
      <w:r>
        <w:t>[ ] Student-specific emergency information stored securely as authorized</w:t>
      </w:r>
    </w:p>
    <w:p>
      <w:pPr>
        <w:pStyle w:val="ListBullet"/>
        <w:spacing w:after="50"/>
      </w:pPr>
      <w:r>
        <w:t>[ ] Basic sanitation supplies</w:t>
      </w:r>
    </w:p>
    <w:p>
      <w:pPr>
        <w:pStyle w:val="ListBullet"/>
        <w:spacing w:after="50"/>
      </w:pPr>
      <w:r>
        <w:t>[ ] School emergency quick-reference card</w:t>
      </w:r>
    </w:p>
    <w:p>
      <w:pPr>
        <w:pStyle w:val="Heading2"/>
      </w:pPr>
      <w:r>
        <w:t>Drill / Exercise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Date / Time</w:t>
            </w:r>
          </w:p>
        </w:tc>
        <w:tc>
          <w:tcPr>
            <w:tcW w:type="dxa" w:w="60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Protective Action Practiced</w:t>
            </w:r>
          </w:p>
        </w:tc>
        <w:tc>
          <w:tcPr>
            <w:tcW w:type="dxa" w:w="60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Area / Classes Involved</w:t>
            </w:r>
          </w:p>
        </w:tc>
        <w:tc>
          <w:tcPr>
            <w:tcW w:type="dxa" w:w="60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Accountability Completed?</w:t>
            </w:r>
          </w:p>
        </w:tc>
        <w:tc>
          <w:tcPr>
            <w:tcW w:type="dxa" w:w="60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Communication Successful?</w:t>
            </w:r>
          </w:p>
        </w:tc>
        <w:tc>
          <w:tcPr>
            <w:tcW w:type="dxa" w:w="60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Accessibility Concerns</w:t>
            </w:r>
          </w:p>
        </w:tc>
        <w:tc>
          <w:tcPr>
            <w:tcW w:type="dxa" w:w="60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Problems Observed</w:t>
            </w:r>
          </w:p>
        </w:tc>
        <w:tc>
          <w:tcPr>
            <w:tcW w:type="dxa" w:w="60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Corrective Actions / Owner / Due Date</w:t>
            </w:r>
          </w:p>
        </w:tc>
        <w:tc>
          <w:tcPr>
            <w:tcW w:type="dxa" w:w="60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34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Administrator Review</w:t>
            </w:r>
          </w:p>
        </w:tc>
        <w:tc>
          <w:tcPr>
            <w:tcW w:type="dxa" w:w="604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Emergency Student Release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1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Student</w:t>
            </w:r>
          </w:p>
        </w:tc>
        <w:tc>
          <w:tcPr>
            <w:tcW w:type="dxa" w:w="633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Grade</w:t>
            </w:r>
          </w:p>
        </w:tc>
        <w:tc>
          <w:tcPr>
            <w:tcW w:type="dxa" w:w="633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Authorized Adult</w:t>
            </w:r>
          </w:p>
        </w:tc>
        <w:tc>
          <w:tcPr>
            <w:tcW w:type="dxa" w:w="633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ID Verified</w:t>
            </w:r>
          </w:p>
        </w:tc>
        <w:tc>
          <w:tcPr>
            <w:tcW w:type="dxa" w:w="633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[ ] Yes   [ ] No</w:t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Relationship</w:t>
            </w:r>
          </w:p>
        </w:tc>
        <w:tc>
          <w:tcPr>
            <w:tcW w:type="dxa" w:w="633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Release Time</w:t>
            </w:r>
          </w:p>
        </w:tc>
        <w:tc>
          <w:tcPr>
            <w:tcW w:type="dxa" w:w="633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</w:r>
          </w:p>
        </w:tc>
      </w:tr>
      <w:tr>
        <w:trPr>
          <w:cantSplit/>
        </w:trPr>
        <w:tc>
          <w:tcPr>
            <w:tcW w:type="dxa" w:w="3168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Staff Initials</w:t>
            </w:r>
          </w:p>
        </w:tc>
        <w:tc>
          <w:tcPr>
            <w:tcW w:type="dxa" w:w="633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</w:r>
          </w:p>
        </w:tc>
      </w:tr>
    </w:tbl>
    <w:p>
      <w:pPr>
        <w:pStyle w:val="Heading2"/>
      </w:pPr>
      <w:r>
        <w:t>Annual EOP Review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Reviewer(s)</w:t>
            </w:r>
          </w:p>
        </w:tc>
        <w:tc>
          <w:tcPr>
            <w:tcW w:type="dxa" w:w="41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Changes Made</w:t>
            </w:r>
          </w:p>
        </w:tc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0B4B33"/>
          </w:tcPr>
          <w:p>
            <w:pPr>
              <w:spacing w:after="30"/>
            </w:pPr>
            <w:r>
              <w:rPr>
                <w:rFonts w:ascii="Aptos" w:hAnsi="Aptos"/>
                <w:b/>
                <w:color w:val="FFFFFF"/>
                <w:sz w:val="16"/>
              </w:rPr>
              <w:t>Approved By</w:t>
            </w: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41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41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41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41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  <w:shd w:fill="F5F8F6"/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25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417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  <w:tc>
          <w:tcPr>
            <w:tcW w:type="dxa" w:w="144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sz="4" w:val="single" w:color="B7C8BD"/>
              <w:left w:sz="4" w:val="single" w:color="B7C8BD"/>
              <w:bottom w:sz="4" w:val="single" w:color="B7C8BD"/>
              <w:right w:sz="4" w:val="single" w:color="B7C8BD"/>
            </w:tcBorders>
          </w:tcPr>
          <w:p>
            <w:pPr>
              <w:spacing w:after="30"/>
            </w:pPr>
          </w:p>
        </w:tc>
      </w:tr>
    </w:tbl>
    <w:p>
      <w:pPr>
        <w:pStyle w:val="Heading2"/>
      </w:pPr>
      <w:r>
        <w:t>Reference Framework</w:t>
      </w:r>
    </w:p>
    <w:p>
      <w:pPr>
        <w:pStyle w:val="SmallNote"/>
      </w:pPr>
      <w:r>
        <w:t>East Green's EOP structure follows the all-hazards planning approach reflected in federal school emergency-management guidance and FEMA/REMS school-safety resources. The school should coordinate local procedures with fire, law enforcement, EMS, emergency management, and district/owner leadership.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64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2D6A4F"/>
        <w:sz w:val="15"/>
      </w:rPr>
      <w:t>ONE SCHOOL. ONE PACK. ONE PURPOSE.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B4B33"/>
        <w:sz w:val="16"/>
      </w:rPr>
      <w:t>EAST GREEN HIGH SCHOOL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E24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4B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6A4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242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4B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5C686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5C6861"/>
      <w:sz w:val="16"/>
    </w:rPr>
  </w:style>
  <w:style w:type="paragraph" w:customStyle="1" w:styleId="FormLabel">
    <w:name w:val="Form Label"/>
    <w:pPr>
      <w:spacing w:after="40"/>
    </w:pPr>
    <w:rPr>
      <w:rFonts w:ascii="Aptos" w:hAnsi="Aptos"/>
      <w:b/>
      <w:color w:val="0B4B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