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936"/>
            <w:shd w:fill="0B4B33"/>
            <w:tcMar>
              <w:top w:w="240" w:type="dxa"/>
              <w:start w:w="200" w:type="dxa"/>
              <w:bottom w:w="240" w:type="dxa"/>
              <w:end w:w="200" w:type="dxa"/>
            </w:tcMar>
          </w:tcPr>
          <w:p>
            <w:pPr>
              <w:jc w:val="center"/>
            </w:pPr>
            <w:r>
              <w:rPr>
                <w:b/>
                <w:color w:val="FFFFFF"/>
                <w:sz w:val="88"/>
              </w:rPr>
              <w:t>EG</w:t>
            </w:r>
          </w:p>
          <w:p>
            <w:pPr>
              <w:jc w:val="center"/>
            </w:pPr>
            <w:r>
              <w:rPr>
                <w:b/>
                <w:color w:val="FFFFFF"/>
                <w:sz w:val="34"/>
              </w:rPr>
              <w:t>EAST GREEN HIGH SCHOOL</w:t>
            </w:r>
          </w:p>
        </w:tc>
      </w:tr>
    </w:tbl>
    <w:p/>
    <w:p>
      <w:pPr>
        <w:pStyle w:val="Title"/>
        <w:jc w:val="center"/>
      </w:pPr>
      <w:r>
        <w:t>SCHOOL IMPROVEMENT PLAN</w:t>
      </w:r>
    </w:p>
    <w:p>
      <w:pPr>
        <w:jc w:val="center"/>
      </w:pPr>
      <w:r>
        <w:rPr>
          <w:b/>
          <w:color w:val="2D6A4F"/>
          <w:sz w:val="26"/>
        </w:rPr>
        <w:t>Strategic Goals, Action Steps &amp; Progress Monitoring</w:t>
      </w:r>
    </w:p>
    <w:p>
      <w:pPr>
        <w:jc w:val="center"/>
      </w:pPr>
      <w:r>
        <w:rPr>
          <w:b/>
          <w:color w:val="5C6861"/>
          <w:sz w:val="18"/>
        </w:rPr>
        <w:t>2026-2027 IMPROVEMENT CYCLE</w:t>
      </w:r>
    </w:p>
    <w:p/>
    <w:tbl>
      <w:tblPr>
        <w:tblW w:type="auto" w:w="0"/>
        <w:jc w:val="center"/>
        <w:tblLayout w:type="fixed"/>
        <w:tblLook w:firstColumn="1" w:firstRow="1" w:lastColumn="0" w:lastRow="0" w:noHBand="0" w:noVBand="1" w:val="04A0"/>
      </w:tblPr>
      <w:tblGrid>
        <w:gridCol w:w="10166"/>
      </w:tblGrid>
      <w:tr>
        <w:tc>
          <w:tcPr>
            <w:tcW w:type="dxa" w:w="9360"/>
            <w:shd w:fill="EAF3EC"/>
            <w:tcBorders>
              <w:top w:val="single" w:sz="10" w:color="6AA84F"/>
              <w:bottom w:val="single" w:sz="10" w:color="6AA84F"/>
              <w:left w:val="single" w:sz="10" w:color="6AA84F"/>
              <w:right w:val="single" w:sz="10" w:color="6AA84F"/>
            </w:tcBorders>
            <w:tcMar>
              <w:top w:w="150" w:type="dxa"/>
              <w:start w:w="180" w:type="dxa"/>
              <w:bottom w:w="150" w:type="dxa"/>
              <w:end w:w="180" w:type="dxa"/>
            </w:tcMar>
          </w:tcPr>
          <w:p>
            <w:pPr>
              <w:jc w:val="center"/>
            </w:pPr>
            <w:r>
              <w:rPr>
                <w:b/>
                <w:color w:val="0B4B33"/>
                <w:sz w:val="22"/>
              </w:rPr>
              <w:t>LEARN. LEAD. SUCCEED.</w:t>
            </w:r>
          </w:p>
          <w:p>
            <w:pPr>
              <w:pStyle w:val="SmallNote"/>
              <w:jc w:val="center"/>
            </w:pPr>
            <w:r>
              <w:t>A living schoolwide plan for academic growth, attendance, climate, college/career readiness, staff capacity, and operational effectiveness.</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PURPOSE &amp; PLANNING APPROACH</w:t>
            </w:r>
          </w:p>
          <w:p>
            <w:pPr>
              <w:pStyle w:val="SmallNote"/>
            </w:pPr>
            <w:r>
              <w:rPr>
                <w:color w:val="DDE9E1"/>
              </w:rPr>
              <w:t>East Green will use short review cycles, measurable indicators, and documented action steps rather than treating improvement planning as a once-a-year compliance exercise.</w:t>
            </w:r>
          </w:p>
        </w:tc>
      </w:tr>
    </w:tbl>
    <w:p/>
    <w:p>
      <w:r>
        <w:t>The School Improvement Plan (SIP) establishes East Green High School's priority outcomes for the 2026-2027 school year. Because East Green is a developing school program, several baseline measures will be established during the opening quarter. Once baseline data are available, the administrative team may refine numeric targets while preserving the intent of each goal.</w:t>
      </w:r>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DATA RULE</w:t>
            </w:r>
          </w:p>
          <w:p>
            <w:pPr>
              <w:pStyle w:val="SmallNote"/>
            </w:pPr>
            <w:r>
              <w:t>No goal is considered complete because an activity occurred. The school must review evidence showing whether student outcomes, staff practice, or operations improved. Quarterly reviews will record status as On Track, Watch, or Off Track and identify the next action.</w:t>
            </w:r>
          </w:p>
        </w:tc>
      </w:tr>
    </w:tbl>
    <w:p>
      <w:pPr>
        <w:pStyle w:val="Heading1"/>
      </w:pPr>
      <w:r>
        <w:t>School Improvement Team</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Role</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Primary Contribution</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Principal - Dr. Collin Bryant</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Plan owner; schoolwide accountability; resource decisions; community communication</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AP, Operations &amp; Student Services - Dr. Barnabas Cook</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Attendance, behavior, safety, student services, operational metrics</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AP, Curriculum &amp; Instruction - Hiring</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Curriculum implementation, assessment, instructional practice, teacher development</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School Counselors - 2 positions</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Academic planning, intervention, graduation tracking, wellness, college/career readiness</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Teacher Representatives</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Department evidence, classroom implementation, student needs, instructional feedback</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Registrar</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Enrollment, credit, transcript, graduation and schedule data integrity</w:t>
            </w:r>
          </w:p>
        </w:tc>
      </w:tr>
      <w:tr>
        <w:trPr>
          <w:cantSplit/>
        </w:trPr>
        <w:tc>
          <w:tcPr>
            <w:tcW w:type="dxa" w:w="38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Front Office Administrative Assistant</w:t>
            </w:r>
          </w:p>
        </w:tc>
        <w:tc>
          <w:tcPr>
            <w:tcW w:type="dxa" w:w="633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Family contact, visitor/front-office process data, operational support</w:t>
            </w:r>
          </w:p>
        </w:tc>
      </w:tr>
    </w:tbl>
    <w:p>
      <w:pPr>
        <w:pStyle w:val="Heading1"/>
      </w:pPr>
      <w:r>
        <w:t>Schoolwide Improvement Priorities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Priority</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2026-2027 Outcome</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1. Academic Achievement &amp; Mastery</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Students demonstrate stronger mastery of East Green essential standards and fewer course failures.</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2. Attendance &amp; Engagement</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Students attend consistently and use Green Day intervention/enrichment meaningfully.</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3. School Climate, Behavior &amp; Safety</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The school maintains predictable expectations, timely interventions, and a safe/supportive culture.</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4. Graduation &amp; College/Career Readiness</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Every student has an academic plan; seniors receive verified graduation and postsecondary planning support.</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5. Instructional Capacity &amp; Staff Development</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Teachers implement common curriculum/assessment expectations and receive useful feedback and support.</w:t>
            </w:r>
          </w:p>
        </w:tc>
      </w:tr>
      <w:tr>
        <w:trPr>
          <w:cantSplit/>
        </w:trPr>
        <w:tc>
          <w:tcPr>
            <w:tcW w:type="dxa" w:w="360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6. Operations, Staffing &amp; Family Service</w:t>
            </w:r>
          </w:p>
        </w:tc>
        <w:tc>
          <w:tcPr>
            <w:tcW w:type="dxa" w:w="662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Critical vacancies are addressed and core office/student-service processes become consistent and measurable.</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1 - ACADEMIC ACHIEVEMENT &amp; MASTERY</w:t>
            </w:r>
          </w:p>
          <w:p>
            <w:pPr>
              <w:pStyle w:val="SmallNote"/>
            </w:pPr>
            <w:r>
              <w:rPr>
                <w:color w:val="DDE9E1"/>
              </w:rPr>
              <w:t>Increase mastery of required course standards and reduce preventable course failure.</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At least 85% of course enrollments will end in a passing grade, and at least 80% of students receiving required G2 intervention will demonstrate documented improvement in the targeted standard, assignment, assessment, or course grade within the intervention cycle.</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Implement the Master Curriculum Handbook and required essential standards in every active course.</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Curriculum &amp; Instruction AP; teachers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Course plans, standards audits, assessment evidence</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Quarterly</w:t>
            </w:r>
          </w:p>
        </w:tc>
      </w:tr>
      <w:tr>
        <w:trPr>
          <w:cantSplit/>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Use common quiz/test framing and required assessment minimums.</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Curriculum &amp; Instruction AP; departments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Assessment audits; gradebook evidence</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Monthly/quarterly</w:t>
            </w:r>
          </w:p>
        </w:tc>
      </w:tr>
      <w:tr>
        <w:trPr>
          <w:cantSplit/>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Identify students below mastery and assign G2 intervention/reteach/reassessment.</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Teachers; counselors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G2 rosters; intervention notes; pre/post evidence</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Weekly</w:t>
            </w:r>
          </w:p>
        </w:tc>
      </w:tr>
      <w:tr>
        <w:trPr>
          <w:cantSplit/>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Review D/F rates by course and student subgroup; identify bottleneck standards.</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Admin team; counselors</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D/F dashboard and action notes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Every 4 weeks</w:t>
            </w:r>
          </w:p>
        </w:tc>
      </w:tr>
      <w:tr>
        <w:trPr>
          <w:cantSplit/>
        </w:trPr>
        <w:tc>
          <w:tcPr>
            <w:tcW w:type="dxa" w:w="44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Use Green Day G4 for extended labs, reassessments, projects, and testing when 30-minute blocks are insufficient.</w:t>
            </w:r>
          </w:p>
        </w:tc>
        <w:tc>
          <w:tcPr>
            <w:tcW w:type="dxa" w:w="194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Teachers; admin</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G4 schedules; completion data</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As needed</w:t>
            </w:r>
          </w:p>
        </w:tc>
      </w:tr>
    </w:tbl>
    <w:p>
      <w:r>
        <w:t>Baseline: Establish first-quarter course pass rates, D/F rates, standard-level assessment data, and intervention response data by the end of Quarter 1.</w:t>
      </w:r>
    </w:p>
    <w:p>
      <w:pPr>
        <w:pStyle w:val="Heading2"/>
      </w:pPr>
      <w:r>
        <w:t>Key Questions for Quarterly Review</w:t>
      </w:r>
    </w:p>
    <w:p>
      <w:pPr>
        <w:pStyle w:val="ListBullet"/>
        <w:spacing w:after="50"/>
      </w:pPr>
      <w:r>
        <w:t>Which courses have the highest failure rates and why?</w:t>
      </w:r>
    </w:p>
    <w:p>
      <w:pPr>
        <w:pStyle w:val="ListBullet"/>
        <w:spacing w:after="50"/>
      </w:pPr>
      <w:r>
        <w:t>Which essential standards are most often not mastered?</w:t>
      </w:r>
    </w:p>
    <w:p>
      <w:pPr>
        <w:pStyle w:val="ListBullet"/>
        <w:spacing w:after="50"/>
      </w:pPr>
      <w:r>
        <w:t>Are reassessment opportunities producing genuine improvement?</w:t>
      </w:r>
    </w:p>
    <w:p>
      <w:pPr>
        <w:pStyle w:val="ListBullet"/>
        <w:spacing w:after="50"/>
      </w:pPr>
      <w:r>
        <w:t>Are students assigned to intervention actually attending and completing the work?</w:t>
      </w:r>
    </w:p>
    <w:p>
      <w:pPr>
        <w:pStyle w:val="ListBullet"/>
        <w:spacing w:after="50"/>
      </w:pPr>
      <w:r>
        <w:t>What curriculum or staffing changes are needed next quarter?</w:t>
      </w:r>
    </w:p>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2 - ATTENDANCE &amp; ENGAGEMENT</w:t>
            </w:r>
          </w:p>
          <w:p>
            <w:pPr>
              <w:pStyle w:val="SmallNote"/>
            </w:pPr>
            <w:r>
              <w:rPr>
                <w:color w:val="DDE9E1"/>
              </w:rPr>
              <w:t>Improve regular attendance and create meaningful use of Green Day.</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Reach at least 92% average daily attendance, reduce chronic absenteeism to 15% or below after a Quarter 1 baseline is established, and maintain at least 85% participation/completion in assigned Green Day intervention or advisory activities.</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Monitor attendance daily and flag emerging patterns early.</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Registrar / front office; Dr. Cook</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Attendance dashboard; correction log</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Daily/weekly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Conduct attendance intervention for students reaching school-defined concern thresholds.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Dr. Cook;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Contact logs; intervention plans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Use G1 advisory for progress checks, attendance reflection, goal setting, and student connection.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Counselors; advisory staff</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Advisory completion; student check-ins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Track G2 attendance and completion for assigned intervention students.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Teachers;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G2 roster and completion data</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Recognize improvement and consistent engagement without creating punitive competition.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Admin;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Recognition records; attendance trend</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Monthly</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3 - SCHOOL CLIMATE, BEHAVIOR &amp; SAFETY</w:t>
            </w:r>
          </w:p>
          <w:p>
            <w:pPr>
              <w:pStyle w:val="SmallNote"/>
            </w:pPr>
            <w:r>
              <w:rPr>
                <w:color w:val="DDE9E1"/>
              </w:rPr>
              <w:t>Build predictable expectations, rapid support, and a safe learning environment.</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Reduce major discipline referrals by at least 20% from the first-quarter baseline, ensure 95% of documented major incidents receive same-day administrative disposition or documented follow-up, and achieve at least 85% positive responses on student/staff safety and belonging pulse checks.</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Teach and reinforce common behavior expectations in classrooms, transitions, lunch, and Green Day.</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Cook; teachers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Referral trends; walkthroughs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Ongoing</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Use the defined classroom-management-to-administrative-referral progression.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Teachers; Dr. Cook</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Referral quality; repeat incident data</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Monthly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Review repeat referrals and connect students to counseling/intervention when behavior has an underlying support need.</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Cook;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Student support plans; repeat-rate trend</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Biweekly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Conduct drills, staff refreshers, and EOP reviews.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Dr. Bryant; Dr. Cook</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Drill logs; corrective action notes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Per safety calendar</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Use brief climate/safety pulse surveys and review findings with the improvement team.</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Admin;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Survey results; action notes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Quarterly</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4 - GRADUATION &amp; COLLEGE/CAREER READINESS</w:t>
            </w:r>
          </w:p>
          <w:p>
            <w:pPr>
              <w:pStyle w:val="SmallNote"/>
            </w:pPr>
            <w:r>
              <w:rPr>
                <w:color w:val="DDE9E1"/>
              </w:rPr>
              <w:t>Ensure every student understands the pathway from current courses to graduation and postsecondary next steps.</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100% of students will have an annually reviewed academic plan; 100% of seniors will receive a documented graduation audit; and at least 90% of seniors will leave with a documented postsecondary plan (college, credential/training, military, or employment).</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Assign counselor caseloads A-L and M-Z and establish annual academic-plan review procedures.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Cook; counselors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Counselor roster; plan completion</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Annual + updates</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Complete formal graduation audits for seniors and identify credit concerns early.</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Counselors; registrar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Audit log; deficiency plans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Each semester</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Deliver grade-specific G1 advisory curriculum: Freshman Foundations, Career Exploration, College/Career Readiness, Senior Seminar.</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Counselors; advisory staff</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Lesson completion and student artifacts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Weekly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Provide senior support for applications, scholarships, financial-aid planning, employment, military, and training options.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Counselor college/career lead</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Senior planning tracker</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Monthly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Increase awareness and participation in East Green CTE/pathway offerings.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Counselors; CTE teachers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Course requests/enrollment; pathway plans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Registration cycle</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5 - INSTRUCTIONAL CAPACITY &amp; STAFF DEVELOPMENT</w:t>
            </w:r>
          </w:p>
          <w:p>
            <w:pPr>
              <w:pStyle w:val="SmallNote"/>
            </w:pPr>
            <w:r>
              <w:rPr>
                <w:color w:val="DDE9E1"/>
              </w:rPr>
              <w:t>Create consistent teaching practice without eliminating teacher judgment and course-specific methods.</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100% of instructional staff will receive at least one documented instructional walkthrough or feedback cycle per quarter, participate in required curriculum/assessment review, and maintain current course evidence aligned to the Master Curriculum Handbook.</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Onboard teachers to curriculum standards, assessment framework, SIS expectations, and Green Day intervention.</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Curriculum &amp; Instruction AP; Dr. Bryant</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Orientation completion</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Start of year / new hire</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Conduct short classroom walkthroughs focused on learning objective, engagement, pacing, and evidence of learning.</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Admin team</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Walkthrough forms; trend summaries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Quarterly minimum</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Use department meetings to calibrate quizzes/tests, review student work, and identify resource needs.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Department teachers; C&amp;I AP</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Meeting notes; sample assessments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Monthly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Provide targeted support when data show persistent course failure or classroom-management needs.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C&amp;I AP; Dr. Cook</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Coaching/action plan notes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As needed</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Maintain substitute-ready lesson plans and emergency/backup instructional materials.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Teachers</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Substitute folder audits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Quarterly</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GOAL 6 - OPERATIONS, STAFFING &amp; FAMILY SERVICE</w:t>
            </w:r>
          </w:p>
          <w:p>
            <w:pPr>
              <w:pStyle w:val="SmallNote"/>
            </w:pPr>
            <w:r>
              <w:rPr>
                <w:color w:val="DDE9E1"/>
              </w:rPr>
              <w:t>Build reliable front-office, student-service, staffing, and communication systems.</w:t>
            </w:r>
          </w:p>
        </w:tc>
      </w:tr>
    </w:tbl>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YEAR-END TARGET</w:t>
            </w:r>
          </w:p>
          <w:p>
            <w:pPr>
              <w:pStyle w:val="SmallNote"/>
            </w:pPr>
            <w:r>
              <w:t>Fill or establish a documented recruitment plan for all critical vacancies; respond to routine family inquiries within one school day when possible; maintain accurate enrollment/records processes; and complete a quarterly review of staffing, facility, and service bottlenecks.</w:t>
            </w:r>
          </w:p>
        </w:tc>
      </w:tr>
    </w:tbl>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Action Step</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Owner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 Metric</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Frequency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Prioritize recruitment for Curriculum &amp; Instruction AP, two counselors, registrar, and front-office administrative assistant.</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Bryant</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Vacancy status; interview/hiring log</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Until filled</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Create standard workflows for enrollment, withdrawal, transcript requests, check-in/out, attendance correction, and schedule changes.</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Dr. Cook; registrar/front office when filled</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Forms packet usage; processing logs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Monthly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Maintain current faculty/staff directory and published Who Do I Contact guidance.</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Front office / registrar</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Directory audit; contact-routing feedback</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Quarterly</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Review class size, course demand, and staffing to determine when additional teachers/support positions are justified.</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Dr. Bryant; C&amp;I AP</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Master schedule and enrollment analysis</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Each registration cycle</w:t>
            </w:r>
          </w:p>
        </w:tc>
      </w:tr>
      <w:tr>
        <w:trPr>
          <w:cantSplit/>
        </w:trPr>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Track maintenance/safety/technology issues and close high-priority work items promptly.</w:t>
            </w:r>
          </w:p>
        </w:tc>
        <w:tc>
          <w:tcPr>
            <w:tcW w:type="dxa" w:w="208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Dr. Cook</w:t>
            </w:r>
          </w:p>
        </w:tc>
        <w:tc>
          <w:tcPr>
            <w:tcW w:type="dxa" w:w="29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Issue log; closure time</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Weekly/monthly</w:t>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PROGRESS MONITORING &amp; REVIEW CYCLE</w:t>
            </w:r>
          </w:p>
          <w:p>
            <w:pPr>
              <w:pStyle w:val="SmallNote"/>
            </w:pPr>
            <w:r>
              <w:rPr>
                <w:color w:val="DDE9E1"/>
              </w:rPr>
              <w:t>The improvement plan is reviewed continuously and formally each quarter.</w:t>
            </w:r>
          </w:p>
        </w:tc>
      </w:tr>
    </w:tbl>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Review Point</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Required Review</w:t>
            </w:r>
          </w:p>
        </w:tc>
      </w:tr>
      <w:tr>
        <w:trPr>
          <w:cantSplit/>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Weekly</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Attendance flags, major behavior events, Green Day intervention participation, urgent staffing/operations issues</w:t>
            </w:r>
          </w:p>
        </w:tc>
      </w:tr>
      <w:tr>
        <w:trPr>
          <w:cantSplit/>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Every 4 Weeks</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D/F rates, intervention response, course bottlenecks, student-support caseload concerns</w:t>
            </w:r>
          </w:p>
        </w:tc>
      </w:tr>
      <w:tr>
        <w:trPr>
          <w:cantSplit/>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Quarterly</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All SIP goals; walkthrough trends; climate pulse; staffing; progress classification; action-plan revision</w:t>
            </w:r>
          </w:p>
        </w:tc>
      </w:tr>
      <w:tr>
        <w:trPr>
          <w:cantSplit/>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Semester</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Graduation audits, course success, schedule/program demand, counselor academic-plan completion</w:t>
            </w:r>
          </w:p>
        </w:tc>
      </w:tr>
      <w:tr>
        <w:trPr>
          <w:cantSplit/>
        </w:trPr>
        <w:tc>
          <w:tcPr>
            <w:tcW w:type="dxa" w:w="230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Year End</w:t>
            </w:r>
          </w:p>
        </w:tc>
        <w:tc>
          <w:tcPr>
            <w:tcW w:type="dxa" w:w="79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Final goal status, evidence summary, lessons learned, recommended goals for next improvement cycle</w:t>
            </w:r>
          </w:p>
        </w:tc>
      </w:tr>
    </w:tbl>
    <w:p>
      <w:pPr>
        <w:pStyle w:val="Heading1"/>
      </w:pPr>
      <w:r>
        <w:t>Quarterly Status Definitions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72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Status</w:t>
            </w:r>
          </w:p>
        </w:tc>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Definition</w:t>
            </w:r>
          </w:p>
        </w:tc>
        <w:tc>
          <w:tcPr>
            <w:tcW w:type="dxa" w:w="417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5"/>
              </w:rPr>
              <w:t>Required Response</w:t>
            </w:r>
          </w:p>
        </w:tc>
      </w:tr>
      <w:tr>
        <w:trPr>
          <w:cantSplit/>
        </w:trPr>
        <w:tc>
          <w:tcPr>
            <w:tcW w:type="dxa" w:w="172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ON TRACK</w:t>
            </w:r>
          </w:p>
        </w:tc>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Evidence indicates the goal/action is progressing at the expected rate.</w:t>
            </w:r>
          </w:p>
        </w:tc>
        <w:tc>
          <w:tcPr>
            <w:tcW w:type="dxa" w:w="417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Continue; refine as needed.</w:t>
            </w:r>
          </w:p>
        </w:tc>
      </w:tr>
      <w:tr>
        <w:trPr>
          <w:cantSplit/>
        </w:trPr>
        <w:tc>
          <w:tcPr>
            <w:tcW w:type="dxa" w:w="172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WATCH</w:t>
            </w:r>
          </w:p>
        </w:tc>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Progress is inconsistent or a barrier may prevent the target from being met.</w:t>
            </w:r>
          </w:p>
        </w:tc>
        <w:tc>
          <w:tcPr>
            <w:tcW w:type="dxa" w:w="417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5"/>
              </w:rPr>
              <w:t>Assign corrective action, owner, and next review date.</w:t>
            </w:r>
          </w:p>
        </w:tc>
      </w:tr>
      <w:tr>
        <w:trPr>
          <w:cantSplit/>
        </w:trPr>
        <w:tc>
          <w:tcPr>
            <w:tcW w:type="dxa" w:w="1728"/>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OFF TRACK</w:t>
            </w:r>
          </w:p>
        </w:tc>
        <w:tc>
          <w:tcPr>
            <w:tcW w:type="dxa" w:w="432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Evidence indicates the goal is unlikely to be met without significant change.</w:t>
            </w:r>
          </w:p>
        </w:tc>
        <w:tc>
          <w:tcPr>
            <w:tcW w:type="dxa" w:w="4176"/>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5"/>
              </w:rPr>
              <w:t>Administrator-led intervention; revise strategy/resources/timeline.</w:t>
            </w:r>
          </w:p>
        </w:tc>
      </w:tr>
    </w:tbl>
    <w:p>
      <w:pPr>
        <w:pStyle w:val="Heading1"/>
      </w:pPr>
      <w:r>
        <w:t>Quarterly SIP Review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Goal</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Status</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Evidence Reviewed</w:t>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Barrier / Finding</w:t>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4"/>
              </w:rPr>
              <w:t>Next Action / Owner</w:t>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Goal 1</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Goal 2</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Goal 3</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Goal 4</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t>Goal 5</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4"/>
              </w:rPr>
            </w:r>
          </w:p>
        </w:tc>
      </w:tr>
      <w:tr>
        <w:trPr>
          <w:cantSplit/>
        </w:trPr>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t>Goal 6</w:t>
            </w:r>
          </w:p>
        </w:tc>
        <w:tc>
          <w:tcPr>
            <w:tcW w:type="dxa" w:w="115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88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c>
          <w:tcPr>
            <w:tcW w:type="dxa" w:w="2592"/>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4"/>
              </w:rPr>
            </w:r>
          </w:p>
        </w:tc>
      </w:tr>
    </w:tbl>
    <w:p>
      <w:r>
        <w:br w:type="page"/>
      </w:r>
    </w:p>
    <w:tbl>
      <w:tblPr>
        <w:tblW w:type="auto" w:w="0"/>
        <w:jc w:val="center"/>
        <w:tblLook w:firstColumn="1" w:firstRow="1" w:lastColumn="0" w:lastRow="0" w:noHBand="0" w:noVBand="1" w:val="04A0"/>
      </w:tblPr>
      <w:tblGrid>
        <w:gridCol w:w="10166"/>
      </w:tblGrid>
      <w:tr>
        <w:tc>
          <w:tcPr>
            <w:tcW w:type="dxa" w:w="10166"/>
            <w:shd w:fill="0B4B33"/>
            <w:tcMar>
              <w:top w:w="85" w:type="dxa"/>
              <w:start w:w="140" w:type="dxa"/>
              <w:bottom w:w="85" w:type="dxa"/>
              <w:end w:w="140" w:type="dxa"/>
            </w:tcMar>
          </w:tcPr>
          <w:p>
            <w:r>
              <w:rPr>
                <w:b/>
                <w:color w:val="FFFFFF"/>
                <w:sz w:val="26"/>
              </w:rPr>
              <w:t>IMPLEMENTATION CALENDAR</w:t>
            </w:r>
          </w:p>
          <w:p>
            <w:pPr>
              <w:pStyle w:val="SmallNote"/>
            </w:pPr>
            <w:r>
              <w:rPr>
                <w:color w:val="DDE9E1"/>
              </w:rPr>
              <w:t>Suggested sequence for the 2026-2027 improvement cycle.</w:t>
            </w:r>
          </w:p>
        </w:tc>
      </w:tr>
    </w:tbl>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Period</w:t>
            </w:r>
          </w:p>
        </w:tc>
        <w:tc>
          <w:tcPr>
            <w:tcW w:type="dxa" w:w="80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0B4B33"/>
          </w:tcPr>
          <w:p>
            <w:pPr>
              <w:spacing w:after="30"/>
            </w:pPr>
            <w:r>
              <w:rPr>
                <w:rFonts w:ascii="Aptos" w:hAnsi="Aptos"/>
                <w:b/>
                <w:color w:val="FFFFFF"/>
                <w:sz w:val="16"/>
              </w:rPr>
              <w:t>Priority Work</w:t>
            </w:r>
          </w:p>
        </w:tc>
      </w:tr>
      <w:tr>
        <w:trPr>
          <w:cantSplit/>
        </w:trPr>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Opening / Quarter 1</w:t>
            </w:r>
          </w:p>
        </w:tc>
        <w:tc>
          <w:tcPr>
            <w:tcW w:type="dxa" w:w="80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Staff onboarding; establish academic/attendance/discipline baselines; fill vacancies; start G1-G4 systems; verify curriculum implementation.</w:t>
            </w:r>
          </w:p>
        </w:tc>
      </w:tr>
      <w:tr>
        <w:trPr>
          <w:cantSplit/>
        </w:trPr>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Quarter 2</w:t>
            </w:r>
          </w:p>
        </w:tc>
        <w:tc>
          <w:tcPr>
            <w:tcW w:type="dxa" w:w="80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Respond to baseline findings; target D/F courses; attendance intervention; first full climate pulse; strengthen counselor/registrar processes.</w:t>
            </w:r>
          </w:p>
        </w:tc>
      </w:tr>
      <w:tr>
        <w:trPr>
          <w:cantSplit/>
        </w:trPr>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Quarter 3</w:t>
            </w:r>
          </w:p>
        </w:tc>
        <w:tc>
          <w:tcPr>
            <w:tcW w:type="dxa" w:w="80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tcPr>
          <w:p>
            <w:pPr>
              <w:spacing w:after="30"/>
            </w:pPr>
            <w:r>
              <w:rPr>
                <w:rFonts w:ascii="Aptos" w:hAnsi="Aptos"/>
                <w:sz w:val="16"/>
              </w:rPr>
              <w:t>Review graduation risk; prepare registration; analyze pathway demand; targeted instructional coaching; assess staffing needs for next year.</w:t>
            </w:r>
          </w:p>
        </w:tc>
      </w:tr>
      <w:tr>
        <w:trPr>
          <w:cantSplit/>
        </w:trPr>
        <w:tc>
          <w:tcPr>
            <w:tcW w:type="dxa" w:w="2160"/>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Quarter 4</w:t>
            </w:r>
          </w:p>
        </w:tc>
        <w:tc>
          <w:tcPr>
            <w:tcW w:type="dxa" w:w="8064"/>
            <w:vAlign w:val="center"/>
            <w:tcMar>
              <w:top w:w="55" w:type="dxa"/>
              <w:start w:w="70" w:type="dxa"/>
              <w:bottom w:w="55" w:type="dxa"/>
              <w:end w:w="70" w:type="dxa"/>
            </w:tcMar>
            <w:tcBorders>
              <w:top w:val="single" w:sz="4" w:color="B7C8BD"/>
              <w:bottom w:val="single" w:sz="4" w:color="B7C8BD"/>
              <w:left w:val="single" w:sz="4" w:color="B7C8BD"/>
              <w:right w:val="single" w:sz="4" w:color="B7C8BD"/>
            </w:tcBorders>
            <w:shd w:fill="F5F8F6"/>
          </w:tcPr>
          <w:p>
            <w:pPr>
              <w:spacing w:after="30"/>
            </w:pPr>
            <w:r>
              <w:rPr>
                <w:rFonts w:ascii="Aptos" w:hAnsi="Aptos"/>
                <w:sz w:val="16"/>
              </w:rPr>
              <w:t>Close senior/graduation actions; evaluate annual goal outcomes; identify program additions; draft next-year staffing and improvement priorities.</w:t>
            </w:r>
          </w:p>
        </w:tc>
      </w:tr>
    </w:tbl>
    <w:p>
      <w:pPr>
        <w:pStyle w:val="Heading1"/>
      </w:pPr>
      <w:r>
        <w:t>Evidence Sources</w:t>
      </w:r>
    </w:p>
    <w:p>
      <w:pPr>
        <w:pStyle w:val="ListBullet"/>
        <w:spacing w:after="50"/>
      </w:pPr>
      <w:r>
        <w:t>SIS grades, attendance, schedules, enrollment, and credit records</w:t>
      </w:r>
    </w:p>
    <w:p>
      <w:pPr>
        <w:pStyle w:val="ListBullet"/>
        <w:spacing w:after="50"/>
      </w:pPr>
      <w:r>
        <w:t>Essential-standard audits, quizzes/tests, projects, lab/performance evidence, and reassessment records</w:t>
      </w:r>
    </w:p>
    <w:p>
      <w:pPr>
        <w:pStyle w:val="ListBullet"/>
        <w:spacing w:after="50"/>
      </w:pPr>
      <w:r>
        <w:t>Green Day G1-G4 attendance, intervention assignment, and completion records</w:t>
      </w:r>
    </w:p>
    <w:p>
      <w:pPr>
        <w:pStyle w:val="ListBullet"/>
        <w:spacing w:after="50"/>
      </w:pPr>
      <w:r>
        <w:t>Discipline referrals, incident follow-up, and repeat-referral data</w:t>
      </w:r>
    </w:p>
    <w:p>
      <w:pPr>
        <w:pStyle w:val="ListBullet"/>
        <w:spacing w:after="50"/>
      </w:pPr>
      <w:r>
        <w:t>Counselor academic plans, graduation audits, senior postsecondary planning records, and referral logs</w:t>
      </w:r>
    </w:p>
    <w:p>
      <w:pPr>
        <w:pStyle w:val="ListBullet"/>
        <w:spacing w:after="50"/>
      </w:pPr>
      <w:r>
        <w:t>Classroom walkthroughs, teacher/department meeting notes, substitute coverage reports, and curriculum audits</w:t>
      </w:r>
    </w:p>
    <w:p>
      <w:pPr>
        <w:pStyle w:val="ListBullet"/>
        <w:spacing w:after="50"/>
      </w:pPr>
      <w:r>
        <w:t>Student/staff/family pulse surveys and documented service feedback</w:t>
      </w:r>
    </w:p>
    <w:p>
      <w:pPr>
        <w:pStyle w:val="ListBullet"/>
        <w:spacing w:after="50"/>
      </w:pPr>
      <w:r>
        <w:t>Vacancy, hiring, maintenance, technology, safety, and operations logs</w:t>
      </w:r>
    </w:p>
    <w:tbl>
      <w:tblPr>
        <w:tblW w:type="auto" w:w="0"/>
        <w:jc w:val="center"/>
        <w:tblLook w:firstColumn="1" w:firstRow="1" w:lastColumn="0" w:lastRow="0" w:noHBand="0" w:noVBand="1" w:val="04A0"/>
      </w:tblPr>
      <w:tblGrid>
        <w:gridCol w:w="10166"/>
      </w:tblGrid>
      <w:tr>
        <w:tc>
          <w:tcPr>
            <w:tcW w:type="dxa" w:w="10166"/>
            <w:shd w:fill="EAF3EC"/>
            <w:tcBorders>
              <w:left w:val="single" w:sz="18" w:color="6AA84F"/>
            </w:tcBorders>
            <w:tcMar>
              <w:top w:w="90" w:type="dxa"/>
              <w:start w:w="140" w:type="dxa"/>
              <w:bottom w:w="90" w:type="dxa"/>
              <w:end w:w="120" w:type="dxa"/>
            </w:tcMar>
          </w:tcPr>
          <w:p>
            <w:r>
              <w:rPr>
                <w:b/>
                <w:color w:val="0B4B33"/>
              </w:rPr>
              <w:t>ANNUAL REVISION</w:t>
            </w:r>
          </w:p>
          <w:p>
            <w:pPr>
              <w:pStyle w:val="SmallNote"/>
            </w:pPr>
            <w:r>
              <w:t>The principal approves the final annual SIP and any material midyear revision. The school improvement team should preserve prior review records so the next plan is built from evidence rather than memory.</w:t>
            </w:r>
          </w:p>
        </w:tc>
      </w:tr>
    </w:tbl>
    <w:sectPr w:rsidR="00FC693F" w:rsidRPr="0006063C" w:rsidSect="00034616">
      <w:headerReference w:type="default" r:id="rId9"/>
      <w:footerReference w:type="default" r:id="rId10"/>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D6A4F"/>
        <w:sz w:val="15"/>
      </w:rPr>
      <w:t>ONE SCHOOL. ONE PACK. ONE PURPOSE.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4B33"/>
        <w:sz w:val="16"/>
      </w:rPr>
      <w:t>EAST GREEN HIGH SCHOOL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E24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4B3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6A4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E24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0B4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C6861"/>
      <w:sz w:val="16"/>
    </w:rPr>
  </w:style>
  <w:style w:type="paragraph" w:customStyle="1" w:styleId="Compact">
    <w:name w:val="Compact"/>
    <w:pPr>
      <w:spacing w:after="40"/>
    </w:pPr>
    <w:rPr>
      <w:rFonts w:ascii="Aptos" w:hAnsi="Aptos"/>
      <w:color w:val="1E242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